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WO-SWG (Brandenburg) — Vorläufiges Wahlergebnis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Sobald der Briefwahlvorstand das Ergebnis der Briefwahl festgestellt hat, meldet es ein Mitglied des Briefwahlvorstandes der Wahlleiterin oder dem Wahlleiter.</w:t>
      </w:r>
    </w:p>
    <w:p>
      <w:r>
        <w:t xml:space="preserve">(2) Die Wahlleiterin oder der Wahlleiter ermittelt das vorläufige Wahlergebnis im Land. Die Wahlleiterin oder der Wahlleiter gibt dieses vorläufige Wahlergebnis mündlich oder in geeigneter anderer Form bekannt.</w:t>
      </w:r>
    </w:p>
    <w:p>
      <w:r>
        <w:rPr>
          <w:color w:val="555555"/>
          <w:sz w:val="17"/>
        </w:rPr>
        <w:t xml:space="preserve">Zitiervorschlag: § 34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