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WO-SWG (Brandenburg) — Begriffsbestimmungen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Rat im Sinne dieser Verordnung ist der Rat für Angelegenheiten der Sorben/Wenden nach § 5 Absatz 1 Satz 1 des Sorben/Wenden-Gesetzes.</w:t>
      </w:r>
    </w:p>
    <w:p>
      <w:r>
        <w:t xml:space="preserve">(2) Dachverband im Sinne dieser Verordnung ist ein Dachverband sorbischer/wendischer Verbände und Vereine nach § 4a des Sorben/Wenden-Gesetzes.</w:t>
      </w:r>
    </w:p>
    <w:p>
      <w:r>
        <w:t xml:space="preserve">(3) Vereinigungen im Sinne dieser Verordnung sind Vereine oder Verbände, die sich in ihrer Satzung zu sorbischen/wendischen Zielen bekennen.</w:t>
      </w:r>
    </w:p>
    <w:p>
      <w:r>
        <w:t xml:space="preserve">(4) Geschäftsstelle im Sinne dieser Verordnung ist die gemäß § 5 Absatz 2 Satz 4 des Sorben/Wenden-Gesetzes von den Dachverbänden gemeinsam zu benennende Stelle.</w:t>
      </w:r>
    </w:p>
    <w:p>
      <w:r>
        <w:rPr>
          <w:color w:val="555555"/>
          <w:sz w:val="17"/>
        </w:rPr>
        <w:t xml:space="preserve">Zitiervorschlag: § 2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