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WO-SWG (Brandenburg) — Wahlvorschlagsrecht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Vereinigung (§ 2 Absatz 3) kann bis zu zehn Einzelwahlvorschläge einreichen. Jeder Einzelwahlvorschlag darf nur eine Bewerberin oder einen Bewerber enthalten. Eine Bewerberin oder ein Bewerber darf nur auf einem Einzelwahlvorschlag benannt werden.</w:t>
      </w:r>
    </w:p>
    <w:p>
      <w:r>
        <w:t xml:space="preserve">(2) Die Einzelwahlvorschläge sind bis 16 Uhr des 48. Tages vor dem letzten Tag der Briefwahl bei der Wahlleiterin oder dem Wahlleiter schriftlich einzureichen.</w:t>
      </w:r>
    </w:p>
    <w:p>
      <w:r>
        <w:rPr>
          <w:color w:val="555555"/>
          <w:sz w:val="17"/>
        </w:rPr>
        <w:t xml:space="preserve">Zitiervorschlag: § 19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