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WO-SWG (Brandenburg) — Aufforderung zur Einreichung von Einzelwahlvorschlägen</w:t>
      </w:r>
    </w:p>
    <w:p>
      <w:r>
        <w:rPr>
          <w:color w:val="555555"/>
          <w:sz w:val="18"/>
        </w:rPr>
        <w:t xml:space="preserve">Wahlordnung zum Sorben/Wenden-Gesetz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Wahlleiterin oder der Wahlleiter fordert durch öffentliche Bekanntmachung zur möglichst frühzeitigen Einreichung von Einzelwahlvorschlägen auf und gibt bekannt, wo und bis zu welchem Zeitpunkt die Einzelwahlvorschläge eingereicht werden müssen, und weist auf die Bestimmungen über den Inhalt und die Form der Einzelwahlvorschläge sowie die mit den Einzelwahlvorschlägen vorzulegenden Erklärungen, Niederschriften und Versicherungen hin.</w:t>
      </w:r>
    </w:p>
    <w:p>
      <w:r>
        <w:t xml:space="preserve">(2) Die Bekanntmachung nach Absatz 1 ist mindestens im Amtsblatt für Brandenburg und in einer im angestammten Siedlungsgebiet der Sorben/Wenden verbreiteten regionalen Tageszeitung zu veröffentlichen.</w:t>
      </w:r>
    </w:p>
    <w:p>
      <w:r>
        <w:rPr>
          <w:color w:val="555555"/>
          <w:sz w:val="17"/>
        </w:rPr>
        <w:t xml:space="preserve">Zitiervorschlag: § 18 WO-SWG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https://recht.nulegal.eu/gesetze/WO-SWG/18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