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WO-SWG (Brandenburg) — Bekanntmachung des Verfahrens der Eintragung in das Wählerverzeichnis und der Erteilung von Briefwahlunterlagen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Geschäftsstelle macht spätestens am 48. Tag vor dem letzten Tag der Briefwahl öffentlich bekannt,</w:t>
      </w:r>
    </w:p>
    <w:p>
      <w:r>
        <w:t xml:space="preserve">wie lange und zu welchen Tageszeiten bei der Geschäftsstelle das Wählerverzeichnis nach § 15 eingesehen werden kann,</w:t>
      </w:r>
    </w:p>
    <w:p>
      <w:r>
        <w:t xml:space="preserve">dass jede wahlberechtigte Person nach Maßgabe des § 15 das Recht hat, die Richtigkeit ihrer im Wählerverzeichnis eingetragenen Daten zu überprüfen sowie das Wählerverzeichnis einzusehen,</w:t>
      </w:r>
    </w:p>
    <w:p>
      <w:r>
        <w:t xml:space="preserve">wie lange, in welcher Form und unter welchen Voraussetzungen gemäß § 12 Anträge auf Eintragung in das Wählerverzeichnis gestellt werden und dass antragstellende Personen, für die im Melderegister eine Auskunftssperre eingetragen ist, anstelle ihrer Anschrift eine Erreichbarkeitsanschrift angeben können,</w:t>
      </w:r>
    </w:p>
    <w:p>
      <w:r>
        <w:t xml:space="preserve">dass bei der Geschäftsstelle innerhalb der Einsichtsfrist schriftlich oder durch Erklärung zur Niederschrift Einspruch gegen das Wählerverzeichnis eingelegt werden kann,</w:t>
      </w:r>
    </w:p>
    <w:p>
      <w:r>
        <w:t xml:space="preserve">dass jeder wahlberechtigten Person, die auf Antrag in das Wählerverzeichnis eingetragen worden ist, unverzüglich, jedoch nicht vor Zulassung der Einzelwahlvorschläge (§ 25 Absatz 3 Satz 1) eine Wahlbenachrichtigung und Briefwahlunterlagen übersandt werden sowie</w:t>
      </w:r>
    </w:p>
    <w:p>
      <w:r>
        <w:t xml:space="preserve">wie durch Briefwahl gewählt wird.</w:t>
      </w:r>
    </w:p>
    <w:p>
      <w:r>
        <w:t xml:space="preserve">(2) Die Bekanntmachung nach Absatz 1 ist mindestens im Amtsblatt für Brandenburg und in einer im angestammten Siedlungsgebiet der Sorben/Wenden verbreiteten regionalen Tageszeitung zu veröffentlichen.</w:t>
      </w:r>
    </w:p>
    <w:p>
      <w:r>
        <w:rPr>
          <w:color w:val="555555"/>
          <w:sz w:val="17"/>
        </w:rPr>
        <w:t xml:space="preserve">Zitiervorschlag: § 14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