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WO-SWG (Brandenburg) — Führung des Wählerverzeichnisses</w:t>
      </w:r>
    </w:p>
    <w:p>
      <w:r>
        <w:rPr>
          <w:color w:val="555555"/>
          <w:sz w:val="18"/>
        </w:rPr>
        <w:t xml:space="preserve">Wahlordnung zum Sorben/Wenden-Gesetz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Geschäftsstelle (§ 2 Absatz 4) führt das Verzeichnis der wahlberechtigten Personen nach Familiennamen, Vornamen und Geburtsdatum sowie Wohn- oder Erreichbarkeitsanschrift. Das Wählerverzeichnis kann nach Landkreisen, kreisfreien Städten sowie kreisangehörigen Städten, Gemeinden und Ämtern gegliedert werden. Das Wählerverzeichnis kann im automatisierten Verfahren geführt werden.</w:t>
      </w:r>
    </w:p>
    <w:p>
      <w:r>
        <w:t xml:space="preserve">(2) In das Wählerverzeichnis dürfen nur wahlberechtigte Personen eingetragen werden, die ihre Eintragung gemäß § 12 beantragt haben.</w:t>
      </w:r>
    </w:p>
    <w:p>
      <w:r>
        <w:rPr>
          <w:color w:val="555555"/>
          <w:sz w:val="17"/>
        </w:rPr>
        <w:t xml:space="preserve">Zitiervorschlag: § 11 WO-SWG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https://recht.nulegal.eu/gesetze/WO-SWG/11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