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WO-SWG (Brandenburg) — Wählbarkeit</w:t>
      </w:r>
    </w:p>
    <w:p>
      <w:r>
        <w:rPr>
          <w:color w:val="555555"/>
          <w:sz w:val="18"/>
        </w:rPr>
        <w:t xml:space="preserve">Wahlordnung zum Sorben/Wenden-Gesetz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Wählbar sind alle in das Wählerverzeichnis eingetragenen wahlberechtigten Sorben/Wenden, die am letzten Tag der Briefwahl das 18. Lebensjahr vollendet haben.</w:t>
      </w:r>
    </w:p>
    <w:p>
      <w:r>
        <w:rPr>
          <w:color w:val="555555"/>
          <w:sz w:val="17"/>
        </w:rPr>
        <w:t xml:space="preserve">Zitiervorschlag: § 10 WO-SWG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https://recht.nulegal.eu/gesetze/WO-SWG/10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