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WO-LPersVG (Brandenburg) — Wahlvorschläge, Einreichungsfrist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Wahl des Personalrates können die wahlberechtigten Beschäftigten und die in der Dienststelle vertretenen Gewerkschaften Wahlvorschläge machen. Bei Gruppenwahl sind für die einzelnen Gruppen getrennte Wahlvorschläge einzureichen.</w:t>
      </w:r>
    </w:p>
    <w:p>
      <w:r>
        <w:t xml:space="preserve">(2) Die Wahlvorschläge sind innerhalb von 18 Kalendertagen nach dem Erlaß des Wahlausschreibens beim Wahlvorstand einzureichen. Die Angaben nach § 9 Absatz 2 Satz 1 bis 3 sollen zusätzlich elektronisch übermittelt werden.</w:t>
      </w:r>
    </w:p>
    <w:p>
      <w:r>
        <w:rPr>
          <w:color w:val="555555"/>
          <w:sz w:val="17"/>
        </w:rPr>
        <w:t xml:space="preserve">Zitiervorschlag: § 8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