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 WO-LPersVG (Brandenburg) — Entsprechende Anwendung der Vorschriften über die Wahl des Personalrates</w:t>
      </w:r>
    </w:p>
    <w:p>
      <w:r>
        <w:rPr>
          <w:color w:val="555555"/>
          <w:sz w:val="18"/>
        </w:rPr>
        <w:t xml:space="preserve">Wahlordnung zum Landespersonalvertretungsgesetz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Für die Wahl der Stufenvertretung gelten die §§ 1 bis 31 entsprechend, soweit sich aus den §§ 34 bis 43 nichts anderes ergibt.</w:t>
      </w:r>
    </w:p>
    <w:p>
      <w:r>
        <w:rPr>
          <w:color w:val="555555"/>
          <w:sz w:val="17"/>
        </w:rPr>
        <w:t xml:space="preserve">Zitiervorschlag: § 33 WO-LPersVG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https://recht.nulegal.eu/gesetze/WO-LPersVG/33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