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WO-LPersVG (Brandenburg) — Ermittlung der gewählten Bewerberinnen und Bewerber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Gruppenwahl sind die Bewerberinnen und Bewerber in der Reihenfolge der jeweils höchsten auf sie entfallenden Stimmenzahl gewählt.</w:t>
      </w:r>
    </w:p>
    <w:p>
      <w:r>
        <w:t xml:space="preserve">(2) Bei gemeinsamer Wahl werden die den einzelnen Gruppen zustehenden Sitze mit den Bewerberinnen und Bewerbern dieser Gruppen in der Reihenfolge der jeweils höchsten auf sie entfallenden Stimmenzahlen besetzt.</w:t>
      </w:r>
    </w:p>
    <w:p>
      <w:r>
        <w:t xml:space="preserve">(3) Bei gleicher Stimmenzahl entscheidet das Los.</w:t>
      </w:r>
    </w:p>
    <w:p>
      <w:r>
        <w:rPr>
          <w:color w:val="555555"/>
          <w:sz w:val="17"/>
        </w:rPr>
        <w:t xml:space="preserve">Zitiervorschlag: § 30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