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WO-LPersVG (Brandenburg) — Beschlüsse, Ersatzmitglieder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Wahlvorstand ist beschlußfähig, wenn alle Mitglieder anwesend sind; im Falle einer Verhinderung können Mitglieder durch die Ersatzmitglieder vertreten werden. Er faßt seine Beschlüsse mit Stimmenmehrheit; Stimmenthaltung ist zulässig. Bei Stimmengleichheit ist der Antrag abgelehnt.</w:t>
      </w:r>
    </w:p>
    <w:p>
      <w:r>
        <w:t xml:space="preserve">(2) Für Ersatzmitglieder des Wahlvorstandes gilt § 31 Absatz 1 des Landespersonalvertretungsgesetzes entsprechend. Sie sollen derselben Gruppe angehören wie die ausgeschiedenen oder verhinderten Mitglieder.</w:t>
      </w:r>
    </w:p>
    <w:p>
      <w:r>
        <w:rPr>
          <w:color w:val="555555"/>
          <w:sz w:val="17"/>
        </w:rPr>
        <w:t xml:space="preserve">Zitiervorschlag: § 2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