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WO-BayPVG (Bayern) — Entsprechende Anwendung der Vorschriften über die Wahl des Personalrats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Wahl des Gesamtpersonalrats gelten die Vorschriften der §§ 1 bis 30 und 34 bis 43 entsprechend.</w:t>
      </w:r>
    </w:p>
    <w:p>
      <w:r>
        <w:t xml:space="preserve">(2) Für die Wahl der Gesamtjugend- und Auszubildendenvertretung gilt § 45 entsprechend. Der Gesamtpersonalrat bestellt den Wahlvorstand für die Wahl der Gesamtjugend- und Auszubildendenvertretung und dessen Vorsitzenden (Art. 64 Abs. 2 und Abs. 1 Satz 2 in Verbindung mit Art. 60 Abs. 1 Satz 1 BayPVG). Dem Wahlvorstand für die Wahl der Gesamtjugend- und Auszubildendenvertretung muß mindestens eine nach Art. 14 BayPVG wählbare Person, die nicht zur Gesamtjugend- und Auszubildendenvertretung wahlberechtigt ist, angehören.</w:t>
      </w:r>
    </w:p>
    <w:p>
      <w:r>
        <w:rPr>
          <w:color w:val="555555"/>
          <w:sz w:val="17"/>
        </w:rPr>
        <w:t xml:space="preserve">Zitiervorschlag: § 53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