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WO-BayPVG (Bayern) — Feststellung der Beschäftigtenzahl, Wählerverzeichnis</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örtlichen Wahlvorstände stellen die Zahl der in den Dienststellen in der Regel tätigen Beschäftigten und ihre Verteilung auf die Gruppen fest und teilen diese Zahlen unverzüglich dem Bezirkswahlvorstand mit.</w:t>
      </w:r>
    </w:p>
    <w:p>
      <w:r>
        <w:t xml:space="preserve">(2) Die Aufstellung der Wählerverzeichnisse und die Behandlung von Einsprüchen ist Aufgabe der örtlichen Wahlvorstände. Sie teilen dem Bezirkswahlvorstand die Zahl der wahlberechtigten Beschäftigten, getrennt nach den Gruppen, unverzüglich mit. Der Anteil an Frauen und Männern bei den wahlberechtigten Beschäftigten insgesamt und in den einzelnen Gruppen ist festzustellen.</w:t>
      </w:r>
    </w:p>
    <w:p>
      <w:r>
        <w:rPr>
          <w:color w:val="555555"/>
          <w:sz w:val="17"/>
        </w:rPr>
        <w:t xml:space="preserve">Zitiervorschlag: § 35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