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WO-BayPVG (Bayern) — Feststellung des Wahlergebnisses</w:t>
      </w:r>
    </w:p>
    <w:p>
      <w:r>
        <w:rPr>
          <w:color w:val="555555"/>
          <w:sz w:val="18"/>
        </w:rPr>
        <w:t xml:space="preserve">Wahlordnung zum Bayerischen Personalvertretungsgesetz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Spätestens am vierten Kalendertag nach Beendigung der Stimmabgabe stellt der Wahlvorstand das Wahlergebnis fest.</w:t>
      </w:r>
    </w:p>
    <w:p>
      <w:r>
        <w:t xml:space="preserve">(2) Nach Öffnung der Wahlurne entnimmt der Wahlvorstand hieraus und aus den Wahlumschlägen die Stimmzettel und prüft ihre Gültigkeit.</w:t>
      </w:r>
    </w:p>
    <w:p>
      <w:r>
        <w:t xml:space="preserve">(3) Der Wahlvorstand zählt</w:t>
      </w:r>
    </w:p>
    <w:p>
      <w:r>
        <w:t xml:space="preserve">a) im Fall der Verhältniswahl die auf sämtliche Bewerber einer jeden Vorschlagsliste sowie die auf die einzelnen Bewerber innerhalb der Vorschlagsliste,</w:t>
      </w:r>
    </w:p>
    <w:p>
      <w:r>
        <w:t xml:space="preserve">b) im Fall der Personenwahl die auf jeden einzelnen Bewerber</w:t>
      </w:r>
    </w:p>
    <w:p>
      <w:r>
        <w:t xml:space="preserve">entfallenen gültigen Stimmen zusammen.</w:t>
      </w:r>
    </w:p>
    <w:p>
      <w:r>
        <w:t xml:space="preserve">(4) Stimmzettel, über deren Gültigkeit oder Ungültigkeit der Wahlvorstand beschließt, weil sie zu Zweifeln Anlaß geben, sind mit fortlaufender Nummer zu versehen und von den übrigen Stimmzetteln gesondert bei den Wahlunterlagen aufzubewahren.</w:t>
      </w:r>
    </w:p>
    <w:p>
      <w:r>
        <w:t xml:space="preserve">(5) Die Sitzung, in der das Wahlergebnis festgestellt wird, ist für die Beschäftigten öffentlich.</w:t>
      </w:r>
    </w:p>
    <w:p>
      <w:r>
        <w:rPr>
          <w:color w:val="555555"/>
          <w:sz w:val="17"/>
        </w:rPr>
        <w:t xml:space="preserve">Zitiervorschlag: § 20 WO-BayPVG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https://recht.nulegal.eu/gesetze/WO-BayPVG/20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