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WO-BayPVG (Bayern) — Bekanntgabe der Wahlvorschläge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Spätestens vierzehn Kalendertage vor dem ersten Tag der Stimmabgabe gibt der Wahlvorstand die als gültig anerkannten Wahlvorschläge mit der nach § 12 zugeteilten Ordnungsnummer und Bezeichnung bzw. dem Kennwort bekannt. Die Stimmzettel sollen in diesem Zeitpunkt vorliegen.</w:t>
      </w:r>
    </w:p>
    <w:p>
      <w:r>
        <w:t xml:space="preserve">(2) Die Bekanntgabe der Namen der Personen, die Wahlvorschläge unterzeichnet oder qualifiziert elektronisch signiert haben, ist unzulässig.</w:t>
      </w:r>
    </w:p>
    <w:p>
      <w:r>
        <w:rPr>
          <w:color w:val="555555"/>
          <w:sz w:val="17"/>
        </w:rPr>
        <w:t xml:space="preserve">Zitiervorschlag: § 13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