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WO-BayPVG (Bayern) — Vergabe von Ordnungsnummern, Bezeichnung der Wahlvorschläge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Ablauf der in § 7 Abs. 2 und § 10 Abs. 3 bis 5 genannten Fristen ermittelt der Wahlvorstand die Reihenfolge der Wahlvorschläge auf dem Stimmzettel (Vergabe von Ordnungsnummern). Maßgeblich ist hierfür die Zahl der bei der letzten Wahl auf die Wahlvorschläge entfallenen Stimmen; bei gleicher Stimmenzahl entscheidet das Los. Für Wahlvorschläge, die an der letzten Wahl nicht teilgenommen haben, werden die folgenden Plätze auf dem Stimmzettel ausgelost.</w:t>
      </w:r>
    </w:p>
    <w:p>
      <w:r>
        <w:t xml:space="preserve">(2) Der Wahlvorstand bezeichnet die Wahlvorschläge mit dem Familien- und Vornamen der in dem Wahlvorschlag an erster und zweiter Stelle benannten Bewerber, bei gemeinsamer Wahl mit dem Familien- und Vornamen der für die Gruppen an erster Stelle benannten Bewerber. Bei Wahlvorschlägen, die mit einem Kennwort versehen sind, ist die Angabe des Kennworts ausreichend.</w:t>
      </w:r>
    </w:p>
    <w:p>
      <w:r>
        <w:rPr>
          <w:color w:val="555555"/>
          <w:sz w:val="17"/>
        </w:rPr>
        <w:t xml:space="preserve">Zitiervorschlag: § 12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