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WO-BayPVG (Bayern) — Fehlen gültiger Wahlvorschläge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nach Ablauf der in § 7 Abs. 2 und § 10 Abs. 3 bis 5 genannten Fristen bei Gruppenwahl nicht für jede Gruppe ein gültiger Wahlvorschlag, bei gemeinsamer Wahl überhaupt kein gültiger Wahlvorschlag eingegangen, so gibt der Wahlvorstand unverzüglich bekannt</w:t>
      </w:r>
    </w:p>
    <w:p>
      <w:r>
        <w:t xml:space="preserve">a) bei Gruppenwahl, für welche Gruppe oder für welche Gruppen keine Vertreter gewählt werden können,</w:t>
      </w:r>
    </w:p>
    <w:p>
      <w:r>
        <w:t xml:space="preserve">b) bei gemeinsamer Wahl, daß diese Wahl nicht stattfinden kann.</w:t>
      </w:r>
    </w:p>
    <w:p>
      <w:r>
        <w:t xml:space="preserve">(2) Gleichzeitig gibt der Wahlvorstand im Fall des Abs. 1 Buchst. a die sich hieraus ergebenden Abweichungen bei der Sitzverteilung im Personalrat und bei der den Wahlberechtigten zustehenden Stimmenzahl bekannt.</w:t>
      </w:r>
    </w:p>
    <w:p>
      <w:r>
        <w:rPr>
          <w:color w:val="555555"/>
          <w:sz w:val="17"/>
        </w:rPr>
        <w:t xml:space="preserve">Zitiervorschlag: § 11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