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WO-BayPVG (Bayern) — Behandlung der Wahlvorschläge durch den Wahlvorstand; ungültige Wahlvorschläge</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vermerkt auf den Wahlvorschlägen den Tag und die Uhrzeit des Eingangs; im Fall des Abs. 5 ist auch der Zeitpunkt des Eingangs des berichtigten Wahlvorschlags zu vermerken. Er hat die Wahlvorschläge unverzüglich auf ihre Gültigkeit zu überprüfen.</w:t>
      </w:r>
    </w:p>
    <w:p>
      <w:r>
        <w:t xml:space="preserve">(2) Wahlvorschläge, die ungültig sind, insbesondere weil sie bei der Einreichung nicht die erforderliche Anzahl von Unterschriften oder qualifizierten elektronischen Signaturen aufweisen, weil sie nicht fristgerecht eingereicht worden sind oder weil sie Änderungen enthalten (§ 8 Abs. 4 Satz 5), gibt der Wahlvorstand unverzüglich nach Eingang unter Angabe der Gründe zurück. Die Zurückziehung der Unterschriften oder qualifizierten elektronischen Signaturen nach Einreichung des Wahlvorschlags beeinträchtigt dessen Gültigkeit nicht (§ 8 Abs. 5 Satz 3); Abs. 4 bleibt unberührt.</w:t>
      </w:r>
    </w:p>
    <w:p>
      <w:r>
        <w:t xml:space="preserve">(3) Der Wahlvorstand hat einen Bewerber, der mit seiner Zustimmung in schriftlicher oder elektronischer Form (§ 126a BGB) auf mehreren Wahlvorschlägen benannt ist, aufzufordern, innerhalb von drei Kalendertagen zu erklären, auf welchem Wahlvorschlag er benannt bleiben will. Gibt der Bewerber diese Erklärung nicht fristgerecht ab, so wird er von sämtlichen Wahlvorschlägen gestrichen.</w:t>
      </w:r>
    </w:p>
    <w:p>
      <w:r>
        <w:t xml:space="preserve">(4) Der Wahlvorstand hat vorschlagsberechtigte Beschäftigte (§ 8 Abs. 5), die mehrere Wahlvorschläge unterzeichnet oder qualifiziert elektronisch signiert haben, aufzufordern, innerhalb von drei Kalendertagen zu erklären, welche Unterschrift oder qualifizierte elektronische Signatur sie aufrechterhalten. Wird diese Erklärung nicht fristgerecht abgegeben, zählt keine Unterschrift oder qualifizierte elektronische Signatur. Entsprechendes gilt bei Gewerkschaften, die bei gemeinsamer Wahl mehrere, bei Gruppenwahl für eine Gruppe mehrere Wahlvorschläge gemacht haben.</w:t>
      </w:r>
    </w:p>
    <w:p>
      <w:r>
        <w:t xml:space="preserve">(5) Wahlvorschläge, die</w:t>
      </w:r>
    </w:p>
    <w:p>
      <w:r>
        <w:t xml:space="preserve">a) nichtwählbare Personen bezeichnen,</w:t>
      </w:r>
    </w:p>
    <w:p>
      <w:r>
        <w:t xml:space="preserve">b) den Erfordernissen des § 8 Abs. 4 nicht entsprechen,</w:t>
      </w:r>
    </w:p>
    <w:p>
      <w:r>
        <w:t xml:space="preserve">c) ohne die Zustimmung der Bewerber in schriftlicher oder elektronischer Form (§ 126a BGB) eingereicht sind,</w:t>
      </w:r>
    </w:p>
    <w:p>
      <w:r>
        <w:t xml:space="preserve">d) infolge von Streichungen gemäß Abs. 4 nicht mehr die erforderliche Anzahl von Unterschriften aufweisen,</w:t>
      </w:r>
    </w:p>
    <w:p>
      <w:r>
        <w:t xml:space="preserve">hat der Wahlvorstand mit der Aufforderung zurückzugeben, die Mängel innerhalb einer Frist von fünf Kalendertagen zu beseitigen. Werden die Mängel nicht fristgerecht beseitigt, sind diese Wahlvorschläge ungültig.</w:t>
      </w:r>
    </w:p>
    <w:p>
      <w:r>
        <w:rPr>
          <w:color w:val="555555"/>
          <w:sz w:val="17"/>
        </w:rPr>
        <w:t xml:space="preserve">Zitiervorschlag: § 10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