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WMVO — Werkstattversammlung</w:t>
      </w:r>
    </w:p>
    <w:p>
      <w:r>
        <w:rPr>
          <w:color w:val="555555"/>
          <w:sz w:val="18"/>
        </w:rPr>
        <w:t xml:space="preserve">Werkstätten-Mitwirkungsverordnung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Werkstattrat führt mindestens einmal im Kalenderjahr eine Versammlung der Werkstattbeschäftigten durch. Die in der Werkstatt für Versammlungen der Arbeitnehmer geltenden Vorschriften finden entsprechende Anwendung; Teil- sowie Abteilungsversammlungen sind zulässig. Der Werkstattrat kann im Einvernehmen mit der Werkstatt in Werkstattangelegenheiten erfahrene Personen sowie behinderte Menschen, die an Maßnahmen im Eingangsverfahren oder im Berufsbildungsbereich teilnehmen, einladen.</w:t>
      </w:r>
    </w:p>
    <w:p>
      <w:r>
        <w:rPr>
          <w:color w:val="555555"/>
          <w:sz w:val="17"/>
        </w:rPr>
        <w:t xml:space="preserve">Zitiervorschlag: § 9 WMVO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https://recht.nulegal.eu/gesetze/WMVO/9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