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WMVO — Unterrichtungsrechte des Werkstattrats</w:t>
      </w:r>
    </w:p>
    <w:p>
      <w:r>
        <w:rPr>
          <w:color w:val="555555"/>
          <w:sz w:val="18"/>
        </w:rPr>
        <w:t xml:space="preserve">Werkstätten-Mitwirkungsverordnung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Werkstattrat ist in folgenden Angelegenheiten zu unterrichten:</w:t>
      </w:r>
    </w:p>
    <w:p>
      <w:pPr>
        <w:ind w:left="420"/>
      </w:pPr>
      <w:r>
        <w:t xml:space="preserve">1. Beendigung des arbeitnehmerähnlichen Rechtsverhältnisses zur Werkstatt, Versetzungen und Umsetzungen,</w:t>
      </w:r>
    </w:p>
    <w:p>
      <w:pPr>
        <w:ind w:left="420"/>
      </w:pPr>
      <w:r>
        <w:t xml:space="preserve">2. Verlauf und Ergebnis der Eltern- und Betreuerversammlung,</w:t>
      </w:r>
    </w:p>
    <w:p>
      <w:pPr>
        <w:ind w:left="420"/>
      </w:pPr>
      <w:r>
        <w:t xml:space="preserve">3. Einstellung, Versetzung und Umsetzung des Fachpersonals (Angehörige der begleitenden Dienste und die Fachkräfte zur Arbeits- und Berufsförderung) und des sonstigen Personals der Werkstatt.</w:t>
      </w:r>
    </w:p>
    <w:p>
      <w:r>
        <w:t xml:space="preserve">(2) Die Werkstatt hat den Werkstattrat in den Angelegenheiten, in denen er ein Unterrichtungsrecht hat, rechtzeitig und umfassend unter Vorlage der erforderlichen Unterlagen zu unterrichten. Die in den Fällen des Absatzes 1 Nr. 1 einzuholende Stellungnahme des Fachausschusses und die in diesem Rahmen erfolgende Anhörung des oder der Werkstattbeschäftigten bleiben unberührt.</w:t>
      </w:r>
    </w:p>
    <w:p>
      <w:r>
        <w:rPr>
          <w:color w:val="555555"/>
          <w:sz w:val="17"/>
        </w:rPr>
        <w:t xml:space="preserve">Zitiervorschlag: § 7 WMVO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https://recht.nulegal.eu/gesetze/WMVO/7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