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WMVO — Vermittlungsstelle</w:t>
      </w:r>
    </w:p>
    <w:p>
      <w:r>
        <w:rPr>
          <w:color w:val="555555"/>
          <w:sz w:val="18"/>
        </w:rPr>
        <w:t xml:space="preserve">Werkstätten-Mitwirkungsverordnung</w:t>
      </w:r>
    </w:p>
    <w:p>
      <w:r>
        <w:rPr>
          <w:color w:val="555555"/>
          <w:sz w:val="18"/>
        </w:rPr>
        <w:t xml:space="preserve">Stand: 18.06.2021 (konsolidierte Textfassung, kein amtliches Inkrafttretensdatum)</w:t>
      </w:r>
    </w:p>
    <w:p>
      <w:r>
        <w:t xml:space="preserve">(1) Die Vermittlungsstelle besteht aus einem oder einer unparteiischen, in Werkstattangelegenheiten erfahrenen Vorsitzenden, auf den oder die sich Werkstatt und Werkstattrat einigen müssen, und aus je einem von der Werkstatt und vom Werkstattrat benannten Beisitzer oder einer Beisitzerin. Kommt eine Einigung nicht zustande, so schlagen die Werkstatt und der Werkstattrat je eine Person als Vorsitzenden oder Vorsitzende vor; durch Los wird entschieden, wer als Vorsitzender oder Vorsitzende tätig wird.</w:t>
      </w:r>
    </w:p>
    <w:p>
      <w:r>
        <w:t xml:space="preserve">(2) Die Vermittlungsstelle hat unverzüglich tätig zu werden. Sie entscheidet nach mündlicher Beratung mit Stimmenmehrheit. Die Beschlüsse der Vermittlungsstelle sind schriftlich niederzulegen und von dem Vorsitzenden oder der Vorsitzenden zu unterschreiben oder in elektronischer Form niederzulegen und von dem Vorsitzenden oder der Vorsitzenden mit seiner oder ihrer qualifizierten elektronischen Signatur zu versehen. Werkstatt und Werkstattrat können weitere Einzelheiten des Verfahrens vor der Vermittlungsstelle vereinbaren.</w:t>
      </w:r>
    </w:p>
    <w:p>
      <w:r>
        <w:t xml:space="preserve">(3) Der Einigungsvorschlag der Vermittlungsstelle ersetzt in den Angelegenheiten nach § 5 Absatz 1 sowie in den Angelegenheiten nach § 5 Absatz 2, die nur einheitlich für Arbeitnehmer und Werkstattbeschäftigte geregelt werden können, nicht die Entscheidung der Werkstatt. Bis dahin ist die Durchführung der Maßnahme auszusetzen. Das gilt auch in den Fällen des § 5 Absatz 5 und 6. Fasst die Vermittlungsstelle in den Angelegenheiten nach § 5 Absatz 1 innerhalb von zwölf Tagen keinen Beschluss für einen Einigungsvorschlag, gilt die Entscheidung der Werkstatt.</w:t>
      </w:r>
    </w:p>
    <w:p>
      <w:r>
        <w:rPr>
          <w:color w:val="555555"/>
          <w:sz w:val="17"/>
        </w:rPr>
        <w:t xml:space="preserve">Zitiervorschlag: § 6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