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WMVO — Allgemeine Aufgaben des Werkstattrats</w:t>
      </w:r>
    </w:p>
    <w:p>
      <w:r>
        <w:rPr>
          <w:color w:val="555555"/>
          <w:sz w:val="18"/>
        </w:rPr>
        <w:t xml:space="preserve">Werkstätten-Mitwirkungsverordnung</w:t>
      </w:r>
    </w:p>
    <w:p>
      <w:r>
        <w:rPr>
          <w:color w:val="555555"/>
          <w:sz w:val="18"/>
        </w:rPr>
        <w:t xml:space="preserve">Stand: 10.06.2019 (konsolidierte Textfassung, kein amtliches Inkrafttretensdatum)</w:t>
      </w:r>
    </w:p>
    <w:p>
      <w:r>
        <w:t xml:space="preserve">(1) Der Werkstattrat hat folgende allgemeine Aufgaben:</w:t>
      </w:r>
    </w:p>
    <w:p>
      <w:pPr>
        <w:ind w:left="420"/>
      </w:pPr>
      <w:r>
        <w:t xml:space="preserve">1. darüber zu wachen, dass die zugunsten der Werkstattbeschäftigten geltenden Gesetze, Verordnungen, Unfallverhütungsvorschriften und mit der Werkstatt getroffenen Vereinbarungen durchgeführt werden, vor allem, dass</w:t>
      </w:r>
    </w:p>
    <w:p>
      <w:pPr>
        <w:ind w:left="780"/>
      </w:pPr>
      <w:r>
        <w:t xml:space="preserve">a) die auf das besondere arbeitnehmerähnliche Rechtsverhältnis zwischen den Werkstattbeschäftigten und der Werkstatt anzuwendenden arbeitsrechtlichen Vorschriften und Grundsätze, insbesondere über Beschäftigungszeit einschließlich Teilzeitbeschäftigung sowie der Erholungspausen und Zeiten der Teilnahme an Maßnahmen zur Erhaltung und Erhöhung der Leistungsfähigkeit und zur Weiterentwicklung der Persönlichkeit des Werkstattbeschäftigten, Urlaub, Entgeltfortzahlung im Krankheitsfall, Entgeltzahlung an Feiertagen, Mutterschutz, Elternzeit, Persönlichkeitsschutz und Haftungsbeschränkung,</w:t>
      </w:r>
    </w:p>
    <w:p>
      <w:pPr>
        <w:ind w:left="780"/>
      </w:pPr>
      <w:r>
        <w:t xml:space="preserve">b) die in dem besonderen arbeitnehmerähnlichen Rechtsverhältnis aufgrund der Fürsorgepflicht geltenden Mitwirkungs- und Beschwerderechte und</w:t>
      </w:r>
    </w:p>
    <w:p>
      <w:pPr>
        <w:ind w:left="780"/>
      </w:pPr>
      <w:r>
        <w:t xml:space="preserve">c) die Werkstattverträge</w:t>
      </w:r>
    </w:p>
    <w:p>
      <w:pPr>
        <w:ind w:left="420"/>
      </w:pPr>
      <w:r>
        <w:t xml:space="preserve">von der Werkstatt beachtet werden;</w:t>
      </w:r>
    </w:p>
    <w:p>
      <w:pPr>
        <w:ind w:left="420"/>
      </w:pPr>
      <w:r>
        <w:t xml:space="preserve">2. Maßnahmen, die dem Betrieb der Werkstatt und den Werkstattbeschäftigten dienen, bei der Werkstatt zu beantragen;</w:t>
      </w:r>
    </w:p>
    <w:p>
      <w:pPr>
        <w:ind w:left="420"/>
      </w:pPr>
      <w:r>
        <w:t xml:space="preserve">3. Anregungen und Beschwerden von Werkstattbeschäftigten entgegenzunehmen und, falls sie berechtigt erscheinen, durch Verhandlungen mit der Werkstatt auf eine Erledigung hinzuwirken; er hat die betreffenden Werkstattbeschäftigten über den Stand und das Ergebnis der Verhandlungen zu unterrichten.</w:t>
      </w:r>
    </w:p>
    <w:p>
      <w:r>
        <w:t xml:space="preserve">Dabei hat er vor allem die Interessen besonders betreuungs- und förderungsbedürftiger Werkstattbeschäftigter zu wahren und die Durchsetzung der tatsächlichen Gleichstellung von Frauen und Männern zu fördern.</w:t>
      </w:r>
    </w:p>
    <w:p>
      <w:r>
        <w:t xml:space="preserve">(2) Werden in Absatz 1 Nr. 1 genannte Angelegenheiten zwischen der Werkstatt und einem oder einer Werkstattbeschäftigten erörtert, so nimmt auf dessen oder deren Wunsch ein Mitglied des Werkstattrats an der Erörterung teil. Es ist verpflichtet, über Inhalt und Gegenstand der Erörterung Stillschweigen zu bewahren, soweit es von dem oder der Werkstattbeschäftigten im Einzelfall nicht von dieser Verpflichtung entbunden wird.</w:t>
      </w:r>
    </w:p>
    <w:p>
      <w:r>
        <w:t xml:space="preserve">(3) Der Werkstattrat berücksichtigt die Interessen der im Eingangsverfahren und im Berufsbildungsbereich tätigen behinderten Menschen in angemessener und geeigneter Weise, solange für diese eine Vertretung nach § 52 des Neunten Buches Sozialgesetzbuch nicht besteht.</w:t>
      </w:r>
    </w:p>
    <w:p>
      <w:r>
        <w:rPr>
          <w:color w:val="555555"/>
          <w:sz w:val="17"/>
        </w:rPr>
        <w:t xml:space="preserve">Zitiervorschlag: § 4 WMVO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https://recht.nulegal.eu/gesetze/WMVO/4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