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WMVO — Persönliche Rechte und Pflichten der Mitglieder des Werkstattrats</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Die Mitglieder des Werkstattrats führen ihr Amt unentgeltlich als Ehrenamt.</w:t>
      </w:r>
    </w:p>
    <w:p>
      <w:r>
        <w:t xml:space="preserve">(2) Sie dürfen in der Ausübung ihres Amtes nicht behindert oder wegen ihres Amtes nicht benachteiligt oder begünstigt werden; dies gilt auch für ihre berufliche Entwicklung.</w:t>
      </w:r>
    </w:p>
    <w:p>
      <w:r>
        <w:t xml:space="preserve">(3) Sie sind von ihrer Tätigkeit ohne Minderung des Arbeitsentgeltes zu befreien, wenn und soweit es zur Durchführung ihrer Aufgaben erforderlich ist. Die Werkstattratstätigkeit steht der Werkstattbeschäftigung gleich. In Werkstätten mit wenigstens 200 Wahlberechtigten ist der Vorsitzende oder die Vorsitzende des Werkstattrats auf Verlangen von der Tätigkeit freizustellen, in Werkstätten mit mehr als 700 Wahlberechtigten auch die Stellvertretung. Die Befreiung nach den Sätzen 1 und 3 erstreckt sich nicht auf Maßnahmen nach § 5 Abs. 3 der Werkstättenverordnung.</w:t>
      </w:r>
    </w:p>
    <w:p>
      <w:r>
        <w:t xml:space="preserve">(4) Absatz 3 Satz 1 gilt entsprechend für die Teilnahme an Schulungs- und Bildungsveranstaltungen, soweit diese Kenntnisse vermitteln, die für die Arbeit des Werkstattrats erforderlich sind. Unbeschadet von Satz 1 hat jedes Mitglied des Werkstattrats während seiner regelmäßigen Amtszeit Anspruch auf Freistellung ohne Minderung des Arbeitsentgeltes für insgesamt 15 Tage zur Teilnahme an solchen Schulungs- und Bildungsveranstaltungen; der Anspruch erhöht sich für Werkstattbeschäftigte, die erstmals das Amt eines Mitgliedes des Werkstattrats übernehmen, auf 20 Tage.</w:t>
      </w:r>
    </w:p>
    <w:p>
      <w:r>
        <w:t xml:space="preserve">(5) Bei Streitigkeiten in Angelegenheiten der Absätze 3 und 4 kann die Vermittlungsstelle angerufen werden. § 6 Abs. 2 und 3 gilt entsprechend. Der Rechtsweg zu den Arbeitsgerichten bleibt unberührt.</w:t>
      </w:r>
    </w:p>
    <w:p>
      <w:r>
        <w:t xml:space="preserve">(6) Die Mitglieder des Werkstattrats sind verpflichtet,</w:t>
      </w:r>
    </w:p>
    <w:p>
      <w:pPr>
        <w:ind w:left="420"/>
      </w:pPr>
      <w:r>
        <w:t xml:space="preserve">1. über ihnen wegen ihres Amtes bekannt gewordene persönliche Verhältnisse und Angelegenheiten von Werkstattbeschäftigten, die ihrer Bedeutung oder ihrem Inhalt nach einer vertraulichen Behandlung bedürfen, Stillschweigen zu bewahren und</w:t>
      </w:r>
    </w:p>
    <w:p>
      <w:pPr>
        <w:ind w:left="420"/>
      </w:pPr>
      <w:r>
        <w:t xml:space="preserve">2. ihnen wegen ihres Amtes bekannt gewordene und von der Werkstatt ausdrücklich als geheimhaltungsbedürftig bezeichnete Betriebs- und Geschäftsgeheimnisse nicht zu offenbaren und nicht zu verwerten.</w:t>
      </w:r>
    </w:p>
    <w:p>
      <w:r>
        <w:t xml:space="preserve">Die Pflichten gelten auch nach dem Ausscheiden aus dem Amt. Sie gelten nicht gegenüber den Mitgliedern des Werkstattrats und der Vertrauensperson (§ 39 Abs. 3) sowie im Verfahren vor der Vermittlungsstelle.</w:t>
      </w:r>
    </w:p>
    <w:p>
      <w:r>
        <w:rPr>
          <w:color w:val="555555"/>
          <w:sz w:val="17"/>
        </w:rPr>
        <w:t xml:space="preserve">Zitiervorschlag: § 37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