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WMVO — Beschlüsse des Werkstattrats</w:t>
      </w:r>
    </w:p>
    <w:p>
      <w:r>
        <w:rPr>
          <w:color w:val="555555"/>
          <w:sz w:val="18"/>
        </w:rPr>
        <w:t xml:space="preserve">Werkstätten-Mitwirkungsverordnung</w:t>
      </w:r>
    </w:p>
    <w:p>
      <w:r>
        <w:rPr>
          <w:color w:val="555555"/>
          <w:sz w:val="18"/>
        </w:rPr>
        <w:t xml:space="preserve">Stand: 18.06.2021 (konsolidierte Textfassung, kein amtliches Inkrafttretensdatum)</w:t>
      </w:r>
    </w:p>
    <w:p>
      <w:r>
        <w:t xml:space="preserve">(1) Die Beschlüsse des Werkstattrats werden mit der Mehrheit der Stimmen der anwesenden Mitglieder gefasst. Mitglieder des Werkstattrats, die mittels Video- und Telefonkonferenz an der Beschlussfassung teilnehmen, gelten als anwesend. Bei Stimmengleichheit ist ein Antrag abgelehnt.</w:t>
      </w:r>
    </w:p>
    <w:p>
      <w:r>
        <w:t xml:space="preserve">(2) Der Werkstattrat ist beschlussfähig, wenn mindestens die Hälfte seiner Mitglieder an der Beschlussfassung teilnimmt; Stellvertretung durch Ersatzmitglieder ist zulässig.</w:t>
      </w:r>
    </w:p>
    <w:p>
      <w:r>
        <w:rPr>
          <w:color w:val="555555"/>
          <w:sz w:val="17"/>
        </w:rPr>
        <w:t xml:space="preserve">Zitiervorschlag: § 34 WMVO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https://recht.nulegal.eu/gesetze/WMVO/34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