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WMVO — Zahl der Mitglieder des Werkstattrats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Werkstattrat besteht in Werkstätten mit in der Regel</w:t>
      </w:r>
    </w:p>
    <w:p>
      <w:pPr>
        <w:ind w:left="420"/>
      </w:pPr>
      <w:r>
        <w:t xml:space="preserve">1. bis zu 200 Wahlberechtigten aus drei Mitgliedern,</w:t>
      </w:r>
    </w:p>
    <w:p>
      <w:pPr>
        <w:ind w:left="420"/>
      </w:pPr>
      <w:r>
        <w:t xml:space="preserve">2. 201 bis 400 Wahlberechtigten aus fünf Mitgliedern,</w:t>
      </w:r>
    </w:p>
    <w:p>
      <w:pPr>
        <w:ind w:left="420"/>
      </w:pPr>
      <w:r>
        <w:t xml:space="preserve">3. 401 bis 700 Wahlberechtigten aus sieben Mitgliedern,</w:t>
      </w:r>
    </w:p>
    <w:p>
      <w:pPr>
        <w:ind w:left="420"/>
      </w:pPr>
      <w:r>
        <w:t xml:space="preserve">4. 701 bis 1 000 Wahlberechtigten aus neun Mitgliedern,</w:t>
      </w:r>
    </w:p>
    <w:p>
      <w:pPr>
        <w:ind w:left="420"/>
      </w:pPr>
      <w:r>
        <w:t xml:space="preserve">5. 1 001 bis 1 500 Wahlberechtigten aus elf Mitgliedern und</w:t>
      </w:r>
    </w:p>
    <w:p>
      <w:pPr>
        <w:ind w:left="420"/>
      </w:pPr>
      <w:r>
        <w:t xml:space="preserve">6. mehr als 1 500 Wahlberechtigten aus 13 Mitgliedern.</w:t>
      </w:r>
    </w:p>
    <w:p>
      <w:r>
        <w:t xml:space="preserve">(2) Die Geschlechter sollen entsprechend ihrem zahlenmäßigen Verhältnis vertreten sein.</w:t>
      </w:r>
    </w:p>
    <w:p>
      <w:r>
        <w:rPr>
          <w:color w:val="555555"/>
          <w:sz w:val="17"/>
        </w:rPr>
        <w:t xml:space="preserve">Zitiervorschlag: § 3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