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WMVO — Stimmabgabe</w:t>
      </w:r>
    </w:p>
    <w:p>
      <w:r>
        <w:rPr>
          <w:color w:val="555555"/>
          <w:sz w:val="18"/>
        </w:rPr>
        <w:t xml:space="preserve">Werkstätten-Mitwirkungsverordnung</w:t>
      </w:r>
    </w:p>
    <w:p>
      <w:r>
        <w:rPr>
          <w:color w:val="555555"/>
          <w:sz w:val="18"/>
        </w:rPr>
        <w:t xml:space="preserve">Stand: 22.03.2022 (konsolidierte Textfassung, kein amtliches Inkrafttretensdatum)</w:t>
      </w:r>
    </w:p>
    <w:p>
      <w:r>
        <w:t xml:space="preserve">(1) Der Werkstattrat wird in geheimer und unmittelbarer Wahl nach den Grundsätzen der Mehrheitswahl gewählt.</w:t>
      </w:r>
    </w:p>
    <w:p>
      <w:r>
        <w:t xml:space="preserve">(2) Wer wahlberechtigt ist, kann seine Stimme nur für rechtswirksam vorgeschlagene Bewerber oder Bewerberinnen abgeben. Jeder Wahlberechtigte und jede Wahlberechtigte hat so viele Stimmen, wie Mitglieder des Werkstattrats gewählt werden. Der Stimmzettel muss einen Hinweis darauf enthalten, wie viele Bewerber im Höchstfall gewählt werden dürfen. Für jeden Bewerber oder jede Bewerberin kann nur eine Stimme abgegeben werden.</w:t>
      </w:r>
    </w:p>
    <w:p>
      <w:r>
        <w:t xml:space="preserve">(3) Das Wahlrecht wird durch Abgabe eines Stimmzettels in einem Wahlumschlag ausgeübt. Auf dem Stimmzettel sind die Bewerber in alphabetischer Reihenfolge unter Angabe von Familienname und Vorname, erforderlichenfalls des Geburtsdatums, sowie mit Foto oder anderem Bildmaterial aufzuführen. Die Stimmzettel müssen sämtlich die gleiche Größe, Farbe, Beschaffenheit und Beschriftung haben. Das Gleiche gilt für die Wahlumschläge.</w:t>
      </w:r>
    </w:p>
    <w:p>
      <w:r>
        <w:t xml:space="preserve">(4) Bei der Stimmabgabe wird durch Ankreuzen an der im Stimmzettel jeweils vorgesehenen Stelle die von dem Wählenden oder von der Wählenden gewählte Person gekennzeichnet. Stimmzettel, auf denen mehr als die zulässige Anzahl der Bewerber oder Bewerberinnen gekennzeichnet ist oder aus denen sich der Wille des Wählenden oder der Wählenden nicht zweifelsfrei ergibt, sind ungültig.</w:t>
      </w:r>
    </w:p>
    <w:p>
      <w:r>
        <w:t xml:space="preserve">(5) Ist für mehr als die Hälfte der Wahlberechtigten infolge ihrer Behinderung eine Stimmabgabe durch Abgabe eines Stimmzettels nach den Absätzen 3 und 4 überwiegend nicht möglich, kann der Wahlvorstand eine andere Form der Ausübung des Wahlrechts beschließen.</w:t>
      </w:r>
    </w:p>
    <w:p>
      <w:r>
        <w:t xml:space="preserve">(6) Der Wahlvorstand kann beschließen, dass die Wahl auch als Briefwahl durchgeführt wird.</w:t>
      </w:r>
    </w:p>
    <w:p>
      <w:r>
        <w:rPr>
          <w:color w:val="555555"/>
          <w:sz w:val="17"/>
        </w:rPr>
        <w:t xml:space="preserve">Zitiervorschlag: § 21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