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WMVO — Errichtung von Werkstatträten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Werkstattrat wird in Werkstätten gewählt.</w:t>
      </w:r>
    </w:p>
    <w:p>
      <w:r>
        <w:t xml:space="preserve">(2) Rechte und Pflichten der Werkstatt sind solche des Trägers der Werkstatt.</w:t>
      </w:r>
    </w:p>
    <w:p>
      <w:r>
        <w:rPr>
          <w:color w:val="555555"/>
          <w:sz w:val="17"/>
        </w:rPr>
        <w:t xml:space="preserve">Zitiervorschlag: § 2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