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WMVO — Wahlausschreiben</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Spätestens sechs Wochen vor dem Wahltag erlässt der Wahlvorstand ein Wahlausschreiben, das von dem oder der Vorsitzenden und mindestens einem weiteren Mitglied des Wahlvorstandes zu unterschreiben ist. Es muss enthalten:</w:t>
      </w:r>
    </w:p>
    <w:p>
      <w:pPr>
        <w:ind w:left="420"/>
      </w:pPr>
      <w:r>
        <w:t xml:space="preserve">1. das Datum seines Erlasses,</w:t>
      </w:r>
    </w:p>
    <w:p>
      <w:pPr>
        <w:ind w:left="420"/>
      </w:pPr>
      <w:r>
        <w:t xml:space="preserve">2. die Namen und Fotos der Mitglieder des Wahlvorstandes,</w:t>
      </w:r>
    </w:p>
    <w:p>
      <w:pPr>
        <w:ind w:left="420"/>
      </w:pPr>
      <w:r>
        <w:t xml:space="preserve">3. die Voraussetzungen der Wählbarkeit zum Werkstattrat,</w:t>
      </w:r>
    </w:p>
    <w:p>
      <w:pPr>
        <w:ind w:left="420"/>
      </w:pPr>
      <w:r>
        <w:t xml:space="preserve">4. den Hinweis, wo und wann die Liste der Wahlberechtigten und diese Verordnung zur Einsicht ausliegen,</w:t>
      </w:r>
    </w:p>
    <w:p>
      <w:pPr>
        <w:ind w:left="420"/>
      </w:pPr>
      <w:r>
        <w:t xml:space="preserve">5. den Hinweis, dass nur wählen kann, wer in die Liste der Wahlberechtigten eingetragen ist, und dass Einsprüche gegen die Liste der Wahlberechtigten nur vor Ablauf von zwei Wochen seit dem Erlass des Wahlausschreibens beim Wahlvorstand schriftlich oder zur Niederschrift eingelegt werden können; der letzte Tag der Frist ist anzugeben,</w:t>
      </w:r>
    </w:p>
    <w:p>
      <w:pPr>
        <w:ind w:left="420"/>
      </w:pPr>
      <w:r>
        <w:t xml:space="preserve">6. die Aufforderung, Wahlvorschläge innerhalb von zwei Wochen nach Erlass des Wahlausschreibens beim Wahlvorstand einzureichen; der letzte Tag der Frist ist anzugeben,</w:t>
      </w:r>
    </w:p>
    <w:p>
      <w:pPr>
        <w:ind w:left="420"/>
      </w:pPr>
      <w:r>
        <w:t xml:space="preserve">7. die Mindestzahl von Wahlberechtigten, von denen ein Wahlvorschlag unterstützt werden muss (§ 19 Satz 2),</w:t>
      </w:r>
    </w:p>
    <w:p>
      <w:pPr>
        <w:ind w:left="420"/>
      </w:pPr>
      <w:r>
        <w:t xml:space="preserve">8. den Hinweis, dass die Stimmabgabe an die Wahlvorschläge gebunden ist und dass nur solche Wahlvorschläge berücksichtigt werden dürfen, die fristgerecht (Nummer 6) eingereicht sind,</w:t>
      </w:r>
    </w:p>
    <w:p>
      <w:pPr>
        <w:ind w:left="420"/>
      </w:pPr>
      <w:r>
        <w:t xml:space="preserve">9. die Bestimmung des Ortes, an dem die Wahlvorschläge bis zum Abschluss der Stimmabgabe durch Aushang oder in sonst geeigneter Weise bekannt gegeben werden,</w:t>
      </w:r>
    </w:p>
    <w:p>
      <w:pPr>
        <w:ind w:left="420"/>
      </w:pPr>
      <w:r>
        <w:t xml:space="preserve">10. Ort, Tag und Zeit der Stimmabgabe,</w:t>
      </w:r>
    </w:p>
    <w:p>
      <w:pPr>
        <w:ind w:left="420"/>
      </w:pPr>
      <w:r>
        <w:t xml:space="preserve">11. den Ort und die Zeit der Stimmauszählung und der Sitzung des Wahlvorstandes, in der das Wahlergebnis abschließend festgestellt wird,</w:t>
      </w:r>
    </w:p>
    <w:p>
      <w:pPr>
        <w:ind w:left="420"/>
      </w:pPr>
      <w:r>
        <w:t xml:space="preserve">12. den Ort, an dem Einsprüche, Wahlvorschläge und sonstige Erklärungen gegenüber dem Wahlvorstand abzugeben sind.</w:t>
      </w:r>
    </w:p>
    <w:p>
      <w:r>
        <w:t xml:space="preserve">(2) Eine Abschrift oder ein Abdruck des Wahlausschreibens ist vom Tag seines Erlasses bis zum Wahltag an einer oder mehreren geeigneten, den Wahlberechtigten zugänglichen Stellen vom Wahlvorstand auszuhängen.</w:t>
      </w:r>
    </w:p>
    <w:p>
      <w:r>
        <w:rPr>
          <w:color w:val="555555"/>
          <w:sz w:val="17"/>
        </w:rPr>
        <w:t xml:space="preserve">Zitiervorschlag: § 18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