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WMVO — Anwendungsbereich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die Mitbestimmung und die Mitwirkung der in § 221 Absatz 1 des Neunten Buches Sozialgesetzbuch genannten Menschen mit Behinderungen (Werkstattbeschäftigte) in Werkstattangelegenheiten und die Interessenvertretung der in Werkstätten beschäftigten behinderten Frauen durch Frauenbeauftragte.</w:t>
      </w:r>
    </w:p>
    <w:p>
      <w:r>
        <w:t xml:space="preserve">(2) Diese Verordnung findet keine Anwendung auf Religionsgemeinschaften und ihre Einrichtungen, soweit sie eigene gleichwertige Regelungen getroffen haben.</w:t>
      </w:r>
    </w:p>
    <w:p>
      <w:r>
        <w:rPr>
          <w:color w:val="555555"/>
          <w:sz w:val="17"/>
        </w:rPr>
        <w:t xml:space="preserve">Zitiervorschlag: § 1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