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WIdV — Inkrafttreten</w:t>
      </w:r>
    </w:p>
    <w:p>
      <w:r>
        <w:rPr>
          <w:color w:val="555555"/>
          <w:sz w:val="18"/>
        </w:rPr>
        <w:t xml:space="preserve">Wirtschafts-Identifikationsnummer-Verordnung</w:t>
      </w:r>
    </w:p>
    <w:p>
      <w:r>
        <w:rPr>
          <w:color w:val="555555"/>
          <w:sz w:val="18"/>
        </w:rPr>
        <w:t xml:space="preserve">Stand: 03.10.2024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§ 3 Absatz 4 tritt an dem Tag in Kraft, an dem die erstmalige Zuteilung der Wirtschafts-Identifikationsnummern abgeschlossen ist. Das Bundesministerium der Finanzen gibt den Tag des Inkrafttretens im Bundesgesetzblatt Teil I bekannt.</w:t>
      </w:r>
    </w:p>
    <w:p>
      <w:r>
        <w:rPr>
          <w:color w:val="555555"/>
          <w:sz w:val="17"/>
        </w:rPr>
        <w:t xml:space="preserve">Zitiervorschlag: § 4 WIdV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