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WHG 2009 — Entschädigungsverfahren</w:t>
      </w:r>
    </w:p>
    <w:p>
      <w:r>
        <w:rPr>
          <w:color w:val="555555"/>
          <w:sz w:val="18"/>
        </w:rPr>
        <w:t xml:space="preserve">Wasserhaushaltsgesetz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Über Ansprüche auf Entschädigung ist gleichzeitig mit der dem Anspruch zugrunde liegenden Anordnung zu entscheiden. Die Entscheidung kann auf die Pflicht zur Entschädigung dem Grunde nach beschränkt werden.</w:t>
      </w:r>
    </w:p>
    <w:p>
      <w:r>
        <w:t xml:space="preserve">(2) Vor der Festsetzung des Umfangs einer Entschädigung nach Absatz 1 hat die zuständige Behörde auf eine gütliche Einigung der Beteiligten hinzuwirken, wenn einer der Beteiligten dies beantragt. Kommt eine Einigung nicht zustande, so setzt die Behörde die Entschädigung fest.</w:t>
      </w:r>
    </w:p>
    <w:p>
      <w:r>
        <w:rPr>
          <w:color w:val="555555"/>
          <w:sz w:val="17"/>
        </w:rPr>
        <w:t xml:space="preserve">Zitiervorschlag: § 98 WHG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https://recht.nulegal.eu/gesetze/WHG%202009/98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