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WHG 2009 — Gewässerkundliche Maßnahmen</w:t>
      </w:r>
    </w:p>
    <w:p>
      <w:r>
        <w:rPr>
          <w:color w:val="555555"/>
          <w:sz w:val="18"/>
        </w:rPr>
        <w:t xml:space="preserve">Wasserhaushaltsgesetz</w:t>
      </w:r>
    </w:p>
    <w:p>
      <w:r>
        <w:rPr>
          <w:color w:val="555555"/>
          <w:sz w:val="18"/>
        </w:rPr>
        <w:t xml:space="preserve">Stand: 10.06.2019 (konsolidierte Textfassung, kein amtliches Inkrafttretensdatum)</w:t>
      </w:r>
    </w:p>
    <w:p>
      <w:r>
        <w:t xml:space="preserve">Die zuständige Behörde kann Eigentümer und Nutzungsberechtigte von Grundstücken verpflichten, die Errichtung und den Betrieb von Messanlagen sowie die Durchführung von Probebohrungen und Pumpversuchen zu dulden, soweit dies der Ermittlung gewässerkundlicher Grundlagen dient, die für die Gewässerbewirtschaftung erforderlich sind. Entsteht durch eine Maßnahme nach Satz 1 ein Schaden am Grundstück, hat der Eigentümer gegen den Träger der gewässerkundlichen Maßnahme Anspruch auf Schadenersatz. Satz 2 gilt entsprechend für den Nutzungsberechtigten, wenn wegen des Schadens am Grundstück die Grundstücksnutzung beeinträchtigt wird.</w:t>
      </w:r>
    </w:p>
    <w:p>
      <w:r>
        <w:rPr>
          <w:color w:val="555555"/>
          <w:sz w:val="17"/>
        </w:rPr>
        <w:t xml:space="preserve">Zitiervorschlag: § 91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