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89 WHG 2009 — Haftung für Änderungen der Wasserbeschaffenheit</w:t>
      </w:r>
    </w:p>
    <w:p>
      <w:r>
        <w:rPr>
          <w:color w:val="555555"/>
          <w:sz w:val="18"/>
        </w:rPr>
        <w:t xml:space="preserve">Wasserhaushaltsgesetz</w:t>
      </w:r>
    </w:p>
    <w:p>
      <w:r>
        <w:rPr>
          <w:color w:val="555555"/>
          <w:sz w:val="18"/>
        </w:rPr>
        <w:t xml:space="preserve">Stand: 10.06.2019 (konsolidierte Textfassung, kein amtliches Inkrafttretensdatum)</w:t>
      </w:r>
    </w:p>
    <w:p>
      <w:r>
        <w:t xml:space="preserve">(1) Wer in ein Gewässer Stoffe einbringt oder einleitet oder wer in anderer Weise auf ein Gewässer einwirkt und dadurch die Wasserbeschaffenheit nachteilig verändert, ist zum Ersatz des daraus einem anderen entstehenden Schadens verpflichtet. Haben mehrere auf das Gewässer eingewirkt, so haften sie als Gesamtschuldner.</w:t>
      </w:r>
    </w:p>
    <w:p>
      <w:r>
        <w:t xml:space="preserve">(2) Gelangen aus einer Anlage, die bestimmt ist, Stoffe herzustellen, zu verarbeiten, zu lagern, abzulagern, zu befördern oder wegzuleiten, derartige Stoffe in ein Gewässer, ohne in dieses eingebracht oder eingeleitet zu sein, und wird dadurch die Wasserbeschaffenheit nachteilig verändert, so ist der Betreiber der Anlage zum Ersatz des daraus einem anderen entstehenden Schadens verpflichtet. Absatz 1 Satz 2 gilt entsprechend. Die Ersatzpflicht tritt nicht ein, wenn der Schaden durch höhere Gewalt verursacht wird.</w:t>
      </w:r>
    </w:p>
    <w:p>
      <w:r>
        <w:rPr>
          <w:color w:val="555555"/>
          <w:sz w:val="17"/>
        </w:rPr>
        <w:t xml:space="preserve">Zitiervorschlag: § 89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