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WHG 2009 — Wasserbuch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Gewässer sind Wasserbücher zu führen.</w:t>
      </w:r>
    </w:p>
    <w:p>
      <w:r>
        <w:t xml:space="preserve">(2) In das Wasserbuch sind insbesondere einzutragen:</w:t>
      </w:r>
    </w:p>
    <w:p>
      <w:pPr>
        <w:ind w:left="420"/>
      </w:pPr>
      <w:r>
        <w:t xml:space="preserve">1. nach diesem Gesetz erteilte Erlaubnisse, die nicht nur vorübergehenden Zwecken dienen, und Bewilligungen sowie alte Rechte und alte Befugnisse, Planfeststellungsbeschlüsse und Plangenehmigungen nach § 68,</w:t>
      </w:r>
    </w:p>
    <w:p>
      <w:pPr>
        <w:ind w:left="420"/>
      </w:pPr>
      <w:r>
        <w:t xml:space="preserve">2. Wasserschutzgebiete,</w:t>
      </w:r>
    </w:p>
    <w:p>
      <w:pPr>
        <w:ind w:left="420"/>
      </w:pPr>
      <w:r>
        <w:t xml:space="preserve">3. Risikogebiete und festgesetzte Überschwemmungsgebiete.</w:t>
      </w:r>
    </w:p>
    <w:p>
      <w:r>
        <w:t xml:space="preserve">Von der Eintragung von Zulassungen nach Satz 1 Nummer 1 kann in Fällen von untergeordneter wasserwirtschaftlicher Bedeutung abgesehen werden.</w:t>
      </w:r>
    </w:p>
    <w:p>
      <w:r>
        <w:t xml:space="preserve">(3) Unrichtige Eintragungen sind zu berichtigen. Unzulässige Eintragungen und Eintragungen zu nicht mehr bestehenden Rechtsverhältnissen sind zu löschen.</w:t>
      </w:r>
    </w:p>
    <w:p>
      <w:r>
        <w:t xml:space="preserve">(4) Eintragungen im Wasserbuch haben keine rechtsbegründende oder rechtsändernde Wirkung.</w:t>
      </w:r>
    </w:p>
    <w:p>
      <w:r>
        <w:rPr>
          <w:color w:val="555555"/>
          <w:sz w:val="17"/>
        </w:rPr>
        <w:t xml:space="preserve">Zitiervorschlag: § 87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