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WHG 2009 — Veränderungssperre zur Sicherung von Planungen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Zur Sicherung von Planungen für</w:t>
      </w:r>
    </w:p>
    <w:p>
      <w:pPr>
        <w:ind w:left="420"/>
      </w:pPr>
      <w:r>
        <w:t xml:space="preserve">1. dem Wohl der Allgemeinheit dienende Vorhaben der Wassergewinnung oder Wasserspeicherung, der Abwasserbeseitigung, der Wasseranreicherung, der Wasserkraftnutzung, der Bewässerung, des Hochwasserschutzes oder des Gewässerausbaus,</w:t>
      </w:r>
    </w:p>
    <w:p>
      <w:pPr>
        <w:ind w:left="420"/>
      </w:pPr>
      <w:r>
        <w:t xml:space="preserve">2. Vorhaben nach dem Maßnahmenprogramm nach § 82</w:t>
      </w:r>
    </w:p>
    <w:p>
      <w:r>
        <w:t xml:space="preserve">kann die Landesregierung durch Rechtsverordnung Planungsgebiete festlegen, auf deren Flächen wesentlich wertsteigernde oder die Durchführung des geplanten Vorhabens erheblich erschwerende Veränderungen nicht vorgenommen werden dürfen (Veränderungssperre). Sie kann die Ermächtigung nach Satz 1 durch Rechtsverordnung auf andere Landesbehörden übertragen.</w:t>
      </w:r>
    </w:p>
    <w:p>
      <w:r>
        <w:t xml:space="preserve">(2) Veränderungen, die in rechtlich zulässiger Weise vorher begonnen worden sind, Unterhaltungsarbeiten und die Fortführung einer bisher ausgeübten Nutzung werden von der Veränderungssperre nicht berührt.</w:t>
      </w:r>
    </w:p>
    <w:p>
      <w:r>
        <w:t xml:space="preserve">(3) Die Veränderungssperre tritt drei Jahre nach ihrem Inkrafttreten außer Kraft, sofern die Rechtsverordnung nach Absatz 1 Satz 1 keinen früheren Zeitpunkt bestimmt. Die Frist von drei Jahren kann, wenn besondere Umstände es erfordern, durch Rechtsverordnung um höchstens ein Jahr verlängert werden. Die Veränderungssperre ist vor Ablauf der Frist nach Satz 1 oder Satz 2 außer Kraft zu setzen, sobald und soweit die Voraussetzungen für ihren Erlass weggefallen sind.</w:t>
      </w:r>
    </w:p>
    <w:p>
      <w:r>
        <w:t xml:space="preserve">(4) Von der Veränderungssperre können Ausnahmen zugelassen werden, wenn dem keine überwiegenden öffentlichen Belange entgegenstehen.</w:t>
      </w:r>
    </w:p>
    <w:p>
      <w:r>
        <w:rPr>
          <w:color w:val="555555"/>
          <w:sz w:val="17"/>
        </w:rPr>
        <w:t xml:space="preserve">Zitiervorschlag: § 86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