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WHG 2009 — Koordinierung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Gefahrenkarten und Risikokarten sind so zu erstellen, dass die darin dargestellten Informationen vereinbar sind mit den nach der Richtlinie 2000/60/EG vorgelegten relevanten Angaben, insbesondere nach Artikel 5 Absatz 1 in Verbindung mit Anhang II dieser Richtlinie. Die Informationen sollen mit den in Artikel 5 Absatz 2 der Richtlinie 2000/60/EG vorgesehenen Überprüfungen abgestimmt werden; sie können in diese einbezogen werden.</w:t>
      </w:r>
    </w:p>
    <w:p>
      <w:r>
        <w:t xml:space="preserve">(2) Die zuständigen Behörden koordinieren die Erstellung und die nach § 75 Absatz 6 Satz 3 erforderliche Aktualisierung der Risikomanagementpläne mit den Bewirtschaftungsplänen nach § 83. Die Risikomanagementpläne können in die Bewirtschaftungspläne einbezogen werden.</w:t>
      </w:r>
    </w:p>
    <w:p>
      <w:r>
        <w:rPr>
          <w:color w:val="555555"/>
          <w:sz w:val="17"/>
        </w:rPr>
        <w:t xml:space="preserve">Zitiervorschlag: § 80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