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78c WHG 2009 — Heizölverbraucheranlagen in Überschwemmungsgebieten und in weiteren Risikogebieten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Errichtung neuer Heizölverbraucheranlagen in festgesetzten und vorläufig gesicherten Überschwemmungsgebieten ist verboten. Die zuständige Behörde kann auf Antrag Ausnahmen von dem Verbot nach Satz 1 zulassen, wenn keine anderen weniger wassergefährdenden Energieträger zu wirtschaftlich vertretbaren Kosten zur Verfügung stehen und die Heizölverbraucheranlage hochwassersicher errichtet wird.</w:t>
      </w:r>
    </w:p>
    <w:p>
      <w:r>
        <w:t xml:space="preserve">(2) Die Errichtung neuer Heizölverbraucheranlagen in Gebieten nach § 78b Absatz 1 Satz 1 ist verboten, wenn andere weniger wassergefährdende Energieträger zu wirtschaftlich vertretbaren Kosten zur Verfügung stehen oder die Anlage nicht hochwassersicher errichtet werden kann. Eine Heizölverbraucheranlage nach Satz 1 kann wie geplant errichtet werden, wenn das Vorhaben der zuständigen Behörde spätestens sechs Wochen vor der Errichtung mit den vollständigen Unterlagen angezeigt wird und die Behörde innerhalb einer Frist von vier Wochen nach Eingang der Anzeige weder die Errichtung untersagt noch Anforderungen an die hochwassersichere Errichtung festgesetzt hat.</w:t>
      </w:r>
    </w:p>
    <w:p>
      <w:r>
        <w:t xml:space="preserve">(3) Heizölverbraucheranlagen, die am 5. Januar 2018 in festgesetzten oder in vorläufig gesicherten Überschwemmungsgebieten vorhanden sind, sind vom Betreiber bis zum 5. Januar 2023 nach den allgemein anerkannten Regeln der Technik hochwassersicher nachzurüsten. Heizölverbraucheranlagen, die am 5. Januar 2018 in Gebieten nach § 78b Absatz 1 Satz 1 vorhanden sind, sind bis zum 5. Januar 2033 nach den allgemein anerkannten Regeln der Technik hochwassersicher nachzurüsten, soweit dies wirtschaftlich vertretbar ist. Sofern Heizölverbraucheranlagen wesentlich geändert werden, sind diese abweichend von den Sätzen 1 und 2 zum Änderungszeitpunkt hochwassersicher nachzurüsten.</w:t>
      </w:r>
    </w:p>
    <w:p>
      <w:r>
        <w:rPr>
          <w:color w:val="555555"/>
          <w:sz w:val="17"/>
        </w:rPr>
        <w:t xml:space="preserve">Zitiervorschlag: § 78c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https://recht.nulegal.eu/gesetze/WHG%202009/78c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