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71a WHG 2009 — Vorzeitige Besitzeinweisung</w:t>
      </w:r>
    </w:p>
    <w:p>
      <w:r>
        <w:rPr>
          <w:color w:val="555555"/>
          <w:sz w:val="18"/>
        </w:rPr>
        <w:t xml:space="preserve">Wasserhaushaltsgesetz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zuständige Behörde hat den Träger eines Vorhabens zum Küsten- oder Hochwasserschutz auf Antrag nach der Feststellung des Plans oder nach der Erteilung der Plangenehmigung in den Besitz einzuweisen, wenn</w:t>
      </w:r>
    </w:p>
    <w:p>
      <w:pPr>
        <w:ind w:left="420"/>
      </w:pPr>
      <w:r>
        <w:t xml:space="preserve">1. der Eigentümer oder Besitzer eines Grundstücks, das für das Vorhaben benötigt wird, sich weigert, den Besitz durch Vereinbarung unter Vorbehalt aller Entschädigungsansprüche dem Träger des Vorhabens zu überlassen,</w:t>
      </w:r>
    </w:p>
    <w:p>
      <w:pPr>
        <w:ind w:left="420"/>
      </w:pPr>
      <w:r>
        <w:t xml:space="preserve">2. der sofortige Beginn von Bauarbeiten aus Gründen eines wirksamen Küsten- oder Hochwasserschutzes geboten ist und</w:t>
      </w:r>
    </w:p>
    <w:p>
      <w:pPr>
        <w:ind w:left="420"/>
      </w:pPr>
      <w:r>
        <w:t xml:space="preserve">3. der Planfeststellungsbeschluss oder die Plangenehmigung vollziehbar ist.</w:t>
      </w:r>
    </w:p>
    <w:p>
      <w:r>
        <w:t xml:space="preserve">(2) § 20 Absatz 2 bis 7 des Bundeswasserstraßengesetzes gilt entsprechend.</w:t>
      </w:r>
    </w:p>
    <w:p>
      <w:r>
        <w:t xml:space="preserve">(3) Weitergehende Rechtsvorschriften der Länder bleiben unberührt.</w:t>
      </w:r>
    </w:p>
    <w:p>
      <w:r>
        <w:rPr>
          <w:color w:val="555555"/>
          <w:sz w:val="17"/>
        </w:rPr>
        <w:t xml:space="preserve">Zitiervorschlag: § 71a WHG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https://recht.nulegal.eu/gesetze/WHG%202009/71a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