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WHG 2009 — Enteignungsrechtliche Regelungen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Dient der Gewässerausbau dem Wohl der Allgemeinheit, so kann bei der Feststellung des Plans bestimmt werden, dass für seine Durchführung die Enteignung zulässig ist. Satz 1 gilt für die Plangenehmigung entsprechend, wenn Rechte anderer nur unwesentlich beeinträchtigt werden. In den Fällen der Sätze 1 und 2 ist die Feststellung der Zulässigkeit der Enteignung nicht selbständig anfechtbar.</w:t>
      </w:r>
    </w:p>
    <w:p>
      <w:r>
        <w:t xml:space="preserve">(2) Die Enteignung ist zum Wohl der Allgemeinheit zulässig, soweit sie zur Durchführung eines festgestellten oder genehmigten Plans notwendig ist, der dem Küsten- oder Hochwasserschutz dient. Abweichend von Absatz 1 Satz 1, auch in Verbindung mit Satz 2, bedarf es keiner Bestimmung bei der Feststellung oder Genehmigung des Plans. Weitergehende Rechtsvorschriften der Länder bleiben unberührt.</w:t>
      </w:r>
    </w:p>
    <w:p>
      <w:r>
        <w:t xml:space="preserve">(3) Der festgestellte oder genehmigte Plan ist dem Enteignungsverfahren zugrunde zu legen und für die Enteignungsbehörde bindend.</w:t>
      </w:r>
    </w:p>
    <w:p>
      <w:r>
        <w:t xml:space="preserve">(4) Im Übrigen gelten die Enteignungsgesetze der Länder.</w:t>
      </w:r>
    </w:p>
    <w:p>
      <w:r>
        <w:rPr>
          <w:color w:val="555555"/>
          <w:sz w:val="17"/>
        </w:rPr>
        <w:t xml:space="preserve">Zitiervorschlag: § 71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