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WHG 2009 — Grundsätze für die Kosten von Wasserdienstleistungen und Wassernutzungen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Wasserdienstleistungen ist zur Erreichung der Bewirtschaftungsziele nach den §§ 27 bis 31, 44 und 47 der Grundsatz der Kostendeckung zu berücksichtigen. Hierbei sind auch die Umwelt- und Ressourcenkosten zu berücksichtigen. Es sind angemessene Anreize zu schaffen, Wasser effizient zu nutzen, um so zur Erreichung der Bewirtschaftungsziele beizutragen.</w:t>
      </w:r>
    </w:p>
    <w:p>
      <w:r>
        <w:t xml:space="preserve">(2) Wenn bestimmte Wassernutzungen die Erreichung der in Absatz 1 genannten Bewirtschaftungsziele gefährden, haben Wassernutzungen, insbesondere in den Bereichen Industrie, Haushalte und Landwirtschaft, zur Deckung der Kosten der Wasserdienstleistungen angemessen beizutragen.</w:t>
      </w:r>
    </w:p>
    <w:p>
      <w:r>
        <w:t xml:space="preserve">(3) Im Rahmen der Absätze 1 und 2 sind das Verursacherprinzip sowie die wirtschaftliche Analyse der Wassernutzungen nach der Oberflächengewässerverordnung und der Grundwasserverordnung zugrunde zu legen.</w:t>
      </w:r>
    </w:p>
    <w:p>
      <w:r>
        <w:t xml:space="preserve">(4) Von den Grundsätzen nach den Absätzen 1 und 2 kann im Hinblick auf soziale, ökologische und wirtschaftliche Auswirkungen der Kostendeckung sowie im Hinblick auf regionale geografische oder klimatische Besonderheiten abgewichen werden.</w:t>
      </w:r>
    </w:p>
    <w:p>
      <w:r>
        <w:t xml:space="preserve">(5) Weitergehende Regelungen des Bundes und der Länder zur Erhebung von Kosten und Entgelten im Bereich der Bewirtschaftung von Gewässern bleiben unberührt.</w:t>
      </w:r>
    </w:p>
    <w:p>
      <w:r>
        <w:rPr>
          <w:color w:val="555555"/>
          <w:sz w:val="17"/>
        </w:rPr>
        <w:t xml:space="preserve">Zitiervorschlag: § 6a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