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WHG 2009 — Eignungsfeststellung</w:t>
      </w:r>
    </w:p>
    <w:p>
      <w:r>
        <w:rPr>
          <w:color w:val="555555"/>
          <w:sz w:val="18"/>
        </w:rPr>
        <w:t xml:space="preserve">Wasserhaushaltsgesetz</w:t>
      </w:r>
    </w:p>
    <w:p>
      <w:r>
        <w:rPr>
          <w:color w:val="555555"/>
          <w:sz w:val="18"/>
        </w:rPr>
        <w:t xml:space="preserve">Stand: 15.01.2026 (konsolidierte Textfassung, kein amtliches Inkrafttretensdatum)</w:t>
      </w:r>
    </w:p>
    <w:p>
      <w:r>
        <w:t xml:space="preserve">(1) Anlagen zum Lagern, Abfüllen oder Umschlagen wassergefährdender Stoffe dürfen nur errichtet, betrieben und wesentlich geändert werden, wenn ihre Eignung von der zuständigen Behörde festgestellt worden ist. § 13 Absatz 1 und § 17 gelten entsprechend.</w:t>
      </w:r>
    </w:p>
    <w:p>
      <w:r>
        <w:t xml:space="preserve">(2) Absatz 1 gilt nicht</w:t>
      </w:r>
    </w:p>
    <w:p>
      <w:pPr>
        <w:ind w:left="420"/>
      </w:pPr>
      <w:r>
        <w:t xml:space="preserve">1. für Anlagen zum Lagern und Abfüllen von Jauche, Gülle und Silagesickersäften sowie von vergleichbaren in der Landwirtschaft anfallenden Stoffen,</w:t>
      </w:r>
    </w:p>
    <w:p>
      <w:pPr>
        <w:ind w:left="420"/>
      </w:pPr>
      <w:r>
        <w:t xml:space="preserve">2. wenn wassergefährdende Stoffe</w:t>
      </w:r>
    </w:p>
    <w:p>
      <w:pPr>
        <w:ind w:left="780"/>
      </w:pPr>
      <w:r>
        <w:t xml:space="preserve">a) kurzzeitig in Verbindung mit dem Transport bereitgestellt oder aufbewahrt werden und die Behälter oder Verpackungen den Vorschriften und Anforderungen für den Transport im öffentlichen Verkehr genügen,</w:t>
      </w:r>
    </w:p>
    <w:p>
      <w:pPr>
        <w:ind w:left="780"/>
      </w:pPr>
      <w:r>
        <w:t xml:space="preserve">b) in Laboratorien in der für den Handgebrauch erforderlichen Menge bereitgehalten werden.</w:t>
      </w:r>
    </w:p>
    <w:p>
      <w:pPr>
        <w:ind w:left="420"/>
      </w:pPr>
      <w:r>
        <w:t xml:space="preserve">Durch Rechtsverordnung nach § 23 Absatz 1 Nummer 5, 6 und 10 kann geregelt werden,</w:t>
      </w:r>
    </w:p>
    <w:p>
      <w:pPr>
        <w:ind w:left="780"/>
      </w:pPr>
      <w:r>
        <w:t xml:space="preserve">1. unter welchen Voraussetzungen über die Regelungen nach Satz 1 hinaus keine Eignungsfeststellung erforderlich ist,</w:t>
      </w:r>
    </w:p>
    <w:p>
      <w:pPr>
        <w:ind w:left="780"/>
      </w:pPr>
      <w:r>
        <w:t xml:space="preserve">2. dass über die Regelungen nach Absatz 4 hinaus bestimmte Anlagenteile als geeignet gelten, einschließlich hierfür zu erfüllender Voraussetzungen.</w:t>
      </w:r>
    </w:p>
    <w:p>
      <w:r>
        <w:t xml:space="preserve">(3) Die Eignungsfeststellung entfällt, wenn</w:t>
      </w:r>
    </w:p>
    <w:p>
      <w:pPr>
        <w:ind w:left="420"/>
      </w:pPr>
      <w:r>
        <w:t xml:space="preserve">1. für die Anlage eine Baugenehmigung erteilt worden ist und</w:t>
      </w:r>
    </w:p>
    <w:p>
      <w:pPr>
        <w:ind w:left="420"/>
      </w:pPr>
      <w:r>
        <w:t xml:space="preserve">2. die Baugenehmigung die Einhaltung der wasserrechtlichen Anforderungen voraussetzt.</w:t>
      </w:r>
    </w:p>
    <w:p>
      <w:r>
        <w:t xml:space="preserve">(4) Folgende Anlagenteile gelten als geeignet:</w:t>
      </w:r>
    </w:p>
    <w:p>
      <w:pPr>
        <w:ind w:left="420"/>
      </w:pPr>
      <w:r>
        <w:t xml:space="preserve">1. Bauprodukte im Sinne des Artikels 2 Nummer 1 und 2 der Verordnung (EU) Nr. 305/2011 und Bauprodukte im Sinne des Artikels 3 Nummer 1 der Verordnung (EU) 2024/3110, wenn</w:t>
      </w:r>
    </w:p>
    <w:p>
      <w:pPr>
        <w:ind w:left="780"/>
      </w:pPr>
      <w:r>
        <w:t xml:space="preserve">a) die Bauprodukte von einer harmonisierten Norm im Sinne des Artikels 2 Nummer 11 der Verordnung (EU) Nr. 305/2011 oder einer harmonisierten technischen Spezifikation im Sinne des Artikels 3 Nummer 42 der Verordnung (EU) 2024/3110 erfasst sind oder einer europäischen technischen Bewertung im Sinne des Artikels 2 Nummer 13 der Verordnung (EU) Nr. 305/2011 oder des Artikels 3 Nummer 19 der Verordnung (EU) 2024/3110 entsprechen und</w:t>
      </w:r>
    </w:p>
    <w:p>
      <w:pPr>
        <w:ind w:left="780"/>
      </w:pPr>
      <w:r>
        <w:t xml:space="preserve">b) die CE-Kennzeichnung angebracht wurde und</w:t>
      </w:r>
    </w:p>
    <w:p>
      <w:pPr>
        <w:ind w:left="780"/>
      </w:pPr>
      <w:r>
        <w:t xml:space="preserve">c) die erklärten Leistungen alle wesentlichen dem Gewässerschutz dienenden Merkmale einer harmonisierten Norm im Sinne des Artikels 2 Nummer 11 der Verordnung (EU) Nr. 305/2011, einer harmonisierten technischen Spezifikation im Sinne der Verordnung (EU) 2024/3110 oder einer europäischen technischen Bewertung im Sinne des Artikels 2 Nummer 13 der Verordnung (EU) Nr. 305/2011 oder des Artikels 3 Nummer 19 der Verordnung (EU) 2024/3110 umfassen,</w:t>
      </w:r>
    </w:p>
    <w:p>
      <w:pPr>
        <w:ind w:left="420"/>
      </w:pPr>
      <w:r>
        <w:t xml:space="preserve">2. serienmäßig hergestellte Bauprodukte, die nicht unter Nummer 1 fallen und für die nach bauordnungsrechtlichen Vorschriften ein Verwendbarkeitsnachweis erteilt wurde, der die Einhaltung der wasserrechtlichen Anforderungen gewährleistet,</w:t>
      </w:r>
    </w:p>
    <w:p>
      <w:pPr>
        <w:ind w:left="420"/>
      </w:pPr>
      <w:r>
        <w:t xml:space="preserve">3. Anlagenteile, die aus Bauprodukten zusammengefügt werden, sofern hierfür nach bauordnungsrechtlichen Vorschriften eine Bauartgenehmigung oder eine allgemeine bauaufsichtliche Zulassung erteilt wurde, die jeweils die Einhaltung der wasserrechtlichen Anforderungen gewährleistet,</w:t>
      </w:r>
    </w:p>
    <w:p>
      <w:pPr>
        <w:ind w:left="420"/>
      </w:pPr>
      <w:r>
        <w:t xml:space="preserve">4. Druckgeräte im Sinne von § 2 Satz 1 Nummer 3 der Druckgeräteverordnung vom 13. Mai 2015 (BGBl. I S. 692), die durch Artikel 2 der Verordnung vom 6. April 2016 (BGBl. I S. 597) geändert worden ist, und Baugruppen im Sinne von § 2 Satz 1 Nummer 1 dieser Verordnung, sofern die CE-Kennzeichnung angebracht wurde und die Druckgeräte und Baugruppen in Übereinstimmung mit der Betriebsanleitung und den Sicherheitsinformationen nach § 6 Absatz 3 dieser Verordnung in Betrieb genommen werden, und</w:t>
      </w:r>
    </w:p>
    <w:p>
      <w:pPr>
        <w:ind w:left="420"/>
      </w:pPr>
      <w:r>
        <w:t xml:space="preserve">5. Maschinen im Sinne von § 2 Nummer 1 bis 4 der Maschinenverordnung vom 12. Mai 1993 (BGBl. I S. 704), die zuletzt durch Artikel 19 des Gesetzes vom 8. November 2011 (BGBl. I S. 2178) geändert worden ist, sofern die CE-Kennzeichnung angebracht wurde und die Maschinen in Übereinstimmung mit der Betriebsanleitung und den Sicherheitsanforderungen nach § 3 Absatz 2 Nummer 1 dieser Verordnung in Betrieb genommen werden.</w:t>
      </w:r>
    </w:p>
    <w:p>
      <w:r>
        <w:t xml:space="preserve">Entsprechen bei Bauprodukten nach Satz 1 Nummer 1 die erklärten Leistungen nicht den wasserrechtlichen Anforderungen an die jeweilige Verwendung, muss die Anlage insgesamt so beschaffen sein, dass die wasserrechtlichen Anforderungen erfüllt werden. Bei Anlagenteilen nach Satz 1 Nummer 4 und 5 bleiben die wasserrechtlichen Anforderungen an die Rückhaltung wassergefährdender Stoffe unberührt. Druckgeräte und Baugruppen nach Satz 1 Nummer 4, für die eine Betreiberprüfstelle eine EU-Konformitätserklärung nach § 2 Satz 1 Nummer 10 der Druckgeräteverordnung erteilt hat, bedürfen keiner CE-Kennzeichnung.</w:t>
      </w:r>
    </w:p>
    <w:p>
      <w:r>
        <w:t xml:space="preserve">(5) Bei serienmäßig hergestellten Bauprodukten, die nicht unter Absatz 4 Satz 1 Nummer 1 fallen, sowie bei Anlagenteilen, die aus Bauprodukten zusammengefügt werden, stehen den Verwendbarkeitsnachweisen nach Absatz 4 Satz 1 Nummer 2 sowie den Bauartgenehmigungen oder allgemeinen bauaufsichtlichen Zulassungen nach Absatz 4 Satz 1 Nummer 3 Zulassungen aus einem anderen Mitgliedstaat der Europäischen Union, einem anderen Vertragsstaat des Abkommens über den Europäischen Wirtschaftsraum oder der Türkei gleich, wenn mit den Zulassungen dauerhaft das gleiche Schutzniveau erreicht wird. Das Ergebnis von Prüfungen von Anlagenteilen nach Satz 1, die bereits in einem anderen Mitgliedstaat der Europäischen Union, einem anderen Vertragsstaat des Abkommens über den Europäischen Wirtschaftsraum oder der Türkei vorgenommen worden sind, ist bei der Eignungsfeststellung zu berücksichtigen.</w:t>
      </w:r>
    </w:p>
    <w:p>
      <w:r>
        <w:rPr>
          <w:color w:val="555555"/>
          <w:sz w:val="17"/>
        </w:rPr>
        <w:t xml:space="preserve">Zitiervorschlag: § 63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