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WHG 2009 — Einleiten von Abwasser in private Abwasseranlagen</w:t>
      </w:r>
    </w:p>
    <w:p>
      <w:r>
        <w:rPr>
          <w:color w:val="555555"/>
          <w:sz w:val="18"/>
        </w:rPr>
        <w:t xml:space="preserve">Wasserhaushaltsgesetz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Dem Einleiten von Abwasser in öffentliche Abwasseranlagen stehen Abwassereinleitungen Dritter in private Abwasseranlagen, die der Beseitigung von gewerblichem Abwasser dienen, gleich.</w:t>
      </w:r>
    </w:p>
    <w:p>
      <w:r>
        <w:t xml:space="preserve">(2) Die zuständige Behörde kann Abwassereinleitungen nach Absatz 1 von der Genehmigungsbedürftigkeit nach Absatz 1 in Verbindung mit § 58 Absatz 1 freistellen, wenn durch vertragliche Regelungen zwischen dem Betreiber der privaten Abwasseranlage und dem Einleiter die Einhaltung der Anforderungen nach § 58 Absatz 2 sichergestellt ist.</w:t>
      </w:r>
    </w:p>
    <w:p>
      <w:r>
        <w:rPr>
          <w:color w:val="555555"/>
          <w:sz w:val="17"/>
        </w:rPr>
        <w:t xml:space="preserve">Zitiervorschlag: § 59 WHG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https://recht.nulegal.eu/gesetze/WHG%202009/59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