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WHG 2009 — Einleiten von Abwasser in 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(1) Eine Erlaubnis für das Einleiten von Abwasser in Gewässer (Direkteinleitung) darf nur erteilt werden, wenn</w:t>
      </w:r>
    </w:p>
    <w:p>
      <w:pPr>
        <w:ind w:left="420"/>
      </w:pPr>
      <w:r>
        <w:t xml:space="preserve">1. die Menge und Schädlichkeit des Abwassers so gering gehalten wird, wie dies bei Einhaltung der jeweils in Betracht kommenden Verfahren nach dem Stand der Technik möglich ist,</w:t>
      </w:r>
    </w:p>
    <w:p>
      <w:pPr>
        <w:ind w:left="420"/>
      </w:pPr>
      <w:r>
        <w:t xml:space="preserve">2. die Einleitung mit den Anforderungen an die Gewässereigenschaften und sonstigen rechtlichen Anforderungen vereinbar ist und</w:t>
      </w:r>
    </w:p>
    <w:p>
      <w:pPr>
        <w:ind w:left="420"/>
      </w:pPr>
      <w:r>
        <w:t xml:space="preserve">3. Abwasseranlagen oder sonstige Einrichtungen errichtet und betrieben werden, die erforderlich sind, um die Einhaltung der Anforderungen nach den Nummern 1 und 2 sicherzustellen.</w:t>
      </w:r>
    </w:p>
    <w:p>
      <w:r>
        <w:t xml:space="preserve">(2) Durch Rechtsverordnung nach § 23 Absatz 1 Nummer 3 können an das Einleiten von Abwasser in Gewässer Anforderungen festgelegt werden, die nach Absatz 1 Nummer 1 dem Stand der Technik entsprechen. Die Anforderungen können auch für den Ort des Anfalls des Abwassers oder vor seiner Vermischung festgelegt werden.</w:t>
      </w:r>
    </w:p>
    <w:p>
      <w:r>
        <w:t xml:space="preserve">(3) Nach Veröffentlichung einer BVT-Schlussfolgerung ist bei der Festlegung von Anforderungen nach Absatz 2 Satz 1 unverzüglich zu gewährleisten, dass für Anlagen nach § 3 der Verordnung über genehmigungsbedürftige Anlagen und nach § 60 Absatz 3 Satz 1 Nummer 2 die Einleitungen unter normalen Betriebsbedingungen die in den BVT-Schlussfolgerungen genannten Emissionsbandbreiten nicht überschreiten. Wenn in besonderen Fällen wegen technischer Merkmale der betroffenen Anlagenart die Einhaltung der in Satz 1 genannten Emissionsbandbreiten unverhältnismäßig wäre, können in der Rechtsverordnung für die Anlagenart geeignete Emissionswerte festgelegt werden, die im Übrigen dem Stand der Technik entsprechen müssen. Bei der Festlegung der abweichenden Anforderungen nach Satz 2 ist zu gewährleisten, dass die in den Anhängen V bis VIII der Richtlinie 2010/75/EU festgelegten Emissionsgrenzwerte nicht überschritten werden, keine erheblichen nachteiligen Auswirkungen auf den Gewässerzustand hervorgerufen werden und zu einem hohen Schutzniveau für die Umwelt insgesamt beigetragen wird. Die Notwendigkeit abweichender Anforderungen ist zu begründen.</w:t>
      </w:r>
    </w:p>
    <w:p>
      <w:r>
        <w:t xml:space="preserve">(4) Für vorhandene Abwassereinleitungen aus Anlagen nach § 3 der Verordnung über genehmigungsbedürftige Anlagen oder bei Anlagen nach § 60 Absatz 3 Satz 1 Nummer 2 ist</w:t>
      </w:r>
    </w:p>
    <w:p>
      <w:pPr>
        <w:ind w:left="420"/>
      </w:pPr>
      <w:r>
        <w:t xml:space="preserve">1. innerhalb eines Jahres nach Veröffentlichung von BVT-Schlussfolgerungen zur Haupttätigkeit eine Überprüfung und gegebenenfalls Anpassung der Rechtsverordnung vorzunehmen und</w:t>
      </w:r>
    </w:p>
    <w:p>
      <w:pPr>
        <w:ind w:left="420"/>
      </w:pPr>
      <w:r>
        <w:t xml:space="preserve">2. innerhalb von vier Jahren nach Veröffentlichung von BVT-Schlussfolgerungen zur Haupttätigkeit sicherzustellen, dass die betreffenden Einleitungen oder Anlagen die Emissionsgrenzwerte der Rechtsverordnung einhalten; dabei gelten die Emissionsgrenzwerte als im Einleitungsbescheid festgesetzt, soweit der Bescheid nicht weitergehende Anforderungen im Einzelfall festlegt.</w:t>
      </w:r>
    </w:p>
    <w:p>
      <w:r>
        <w:t xml:space="preserve">Sollte die Anpassung der Abwassereinleitung an die nach Satz 1 Nummer 1 geänderten Anforderungen innerhalb der in Satz 1 bestimmten Frist wegen technischer Merkmale der betroffenen Anlage unverhältnismäßig sein, soll die zuständige Behörde einen längeren Zeitraum festlegen.</w:t>
      </w:r>
    </w:p>
    <w:p>
      <w:r>
        <w:t xml:space="preserve">(5) Entsprechen vorhandene Einleitungen, die nicht unter die Absätze 3 bis 4 fallen, nicht den Anforderungen nach Absatz 2, auch in Verbindung mit Satz 2, oder entsprechenden Anforderungen der Abwasserverordnung in ihrer am 28. Februar 2010 geltenden Fassung, so hat der Betreiber die erforderlichen Anpassungsmaßnahmen innerhalb angemessener Fristen durchzuführen; Absatz 4 Satz 1 Nummer 2 zweiter Halbsatz gilt entsprechend. Für Einleitungen nach Satz 1 sind in der Rechtsverordnung nach Absatz 2 Satz 1 abweichende Anforderungen festzulegen, soweit die erforderlichen Anpassungsmaßnahmen unverhältnismäßig wären.</w:t>
      </w:r>
    </w:p>
    <w:p>
      <w:r>
        <w:rPr>
          <w:color w:val="555555"/>
          <w:sz w:val="17"/>
        </w:rPr>
        <w:t xml:space="preserve">Zitiervorschlag: § 57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