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WHG 2009 — Grundsätze der Abwasserbeseitigung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Abwasser ist so zu beseitigen, dass das Wohl der Allgemeinheit nicht beeinträchtigt wird. Dem Wohl der Allgemeinheit kann auch die Beseitigung von häuslichem Abwasser durch dezentrale Anlagen entsprechen.</w:t>
      </w:r>
    </w:p>
    <w:p>
      <w:r>
        <w:t xml:space="preserve">(2) Niederschlagswasser soll ortsnah versickert, verrieselt oder direkt oder über eine Kanalisation ohne Vermischung mit Schmutzwasser in ein Gewässer eingeleitet werden, soweit dem weder wasserrechtliche noch sonstige öffentlich-rechtliche Vorschriften noch wasserwirtschaftliche Belange entgegenstehen.</w:t>
      </w:r>
    </w:p>
    <w:p>
      <w:r>
        <w:t xml:space="preserve">(3) Flüssige Stoffe, die kein Abwasser sind, können mit Abwasser beseitigt werden, wenn eine solche Entsorgung der Stoffe umweltverträglicher ist als eine Entsorgung als Abfall und wasserwirtschaftliche Belange nicht entgegenstehen.</w:t>
      </w:r>
    </w:p>
    <w:p>
      <w:r>
        <w:rPr>
          <w:color w:val="555555"/>
          <w:sz w:val="17"/>
        </w:rPr>
        <w:t xml:space="preserve">Zitiervorschlag: § 55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