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WHG 2009 — Heilquellenschutz</w:t>
      </w:r>
    </w:p>
    <w:p>
      <w:r>
        <w:rPr>
          <w:color w:val="555555"/>
          <w:sz w:val="18"/>
        </w:rPr>
        <w:t xml:space="preserve">Wasserhaushaltsgesetz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Heilquellen sind natürlich zu Tage tretende oder künstlich erschlossene Wasser- oder Gasvorkommen, die auf Grund ihrer chemischen Zusammensetzung, ihrer physikalischen Eigenschaften oder der Erfahrung nach geeignet sind, Heilzwecken zu dienen.</w:t>
      </w:r>
    </w:p>
    <w:p>
      <w:r>
        <w:t xml:space="preserve">(2) Heilquellen, deren Erhaltung aus Gründen des Wohls der Allgemeinheit erforderlich ist, können auf Antrag staatlich anerkannt werden (staatlich anerkannte Heilquellen). Die Anerkennung ist zu widerrufen, wenn die Voraussetzungen nach Satz 1 nicht mehr vorliegen.</w:t>
      </w:r>
    </w:p>
    <w:p>
      <w:r>
        <w:t xml:space="preserve">(3) Die zuständige Behörde kann besondere Betriebs- und Überwachungspflichten vorschreiben, soweit dies zur Erhaltung der staatlich anerkannten Heilquelle erforderlich ist. Die Überwachung von Betrieben und Anlagen ist zu dulden; § 101 gilt insoweit entsprechend.</w:t>
      </w:r>
    </w:p>
    <w:p>
      <w:r>
        <w:t xml:space="preserve">(4) Zum Schutz staatlich anerkannter Heilquellen kann die Landesregierung durch Rechtsverordnung Heilquellenschutzgebiete festsetzen. In der Rechtsverordnung ist die begünstigte Person zu benennen. Die Landesregierung kann die Ermächtigung nach Satz 1 durch Rechtsverordnung auf andere Landesbehörden übertragen.</w:t>
      </w:r>
    </w:p>
    <w:p>
      <w:r>
        <w:t xml:space="preserve">(5) § 51 Absatz 2 und § 52 gelten entsprechend.</w:t>
      </w:r>
    </w:p>
    <w:p>
      <w:r>
        <w:rPr>
          <w:color w:val="555555"/>
          <w:sz w:val="17"/>
        </w:rPr>
        <w:t xml:space="preserve">Zitiervorschlag: § 53 WHG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https://recht.nulegal.eu/gesetze/WHG%202009/53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