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WHG 2009 — Besondere Anforderungen in Wasserschutzgebieten</w:t>
      </w:r>
    </w:p>
    <w:p>
      <w:r>
        <w:rPr>
          <w:color w:val="555555"/>
          <w:sz w:val="18"/>
        </w:rPr>
        <w:t xml:space="preserve">Wasserhaushaltsgesetz</w:t>
      </w:r>
    </w:p>
    <w:p>
      <w:r>
        <w:rPr>
          <w:color w:val="555555"/>
          <w:sz w:val="18"/>
        </w:rPr>
        <w:t xml:space="preserve">Stand: 15.08.2025 (konsolidierte Textfassung, kein amtliches Inkrafttretensdatum)</w:t>
      </w:r>
    </w:p>
    <w:p>
      <w:r>
        <w:t xml:space="preserve">(1) In der Rechtsverordnung nach § 51 Absatz 1 oder durch behördliche Entscheidung können in Wasserschutzgebieten, soweit der Schutzzweck dies erfordert,</w:t>
      </w:r>
    </w:p>
    <w:p>
      <w:pPr>
        <w:ind w:left="420"/>
      </w:pPr>
      <w:r>
        <w:t xml:space="preserve">1. bestimmte Handlungen verboten oder für nur eingeschränkt zulässig erklärt werden,</w:t>
      </w:r>
    </w:p>
    <w:p>
      <w:pPr>
        <w:ind w:left="420"/>
      </w:pPr>
      <w:r>
        <w:t xml:space="preserve">2. die Eigentümer und Nutzungsberechtigten von Grundstücken verpflichtet werden,</w:t>
      </w:r>
    </w:p>
    <w:p>
      <w:pPr>
        <w:ind w:left="780"/>
      </w:pPr>
      <w:r>
        <w:t xml:space="preserve">a) bestimmte auf das Grundstück bezogene Handlungen vorzunehmen, insbesondere die Grundstücke nur in bestimmter Weise zu nutzen,</w:t>
      </w:r>
    </w:p>
    <w:p>
      <w:pPr>
        <w:ind w:left="780"/>
      </w:pPr>
      <w:r>
        <w:t xml:space="preserve">b) Aufzeichnungen über die Bewirtschaftung der Grundstücke anzufertigen, aufzubewahren und der zuständigen Behörde auf Verlangen vorzulegen,</w:t>
      </w:r>
    </w:p>
    <w:p>
      <w:pPr>
        <w:ind w:left="780"/>
      </w:pPr>
      <w:r>
        <w:t xml:space="preserve">c) bestimmte Maßnahmen zu dulden, insbesondere die Beobachtung des Gewässers und des Bodens, die Überwachung von Schutzbestimmungen, die Errichtung von Zäunen sowie Kennzeichnungen, Bepflanzungen und Aufforstungen,</w:t>
      </w:r>
    </w:p>
    <w:p>
      <w:pPr>
        <w:ind w:left="420"/>
      </w:pPr>
      <w:r>
        <w:t xml:space="preserve">3. Begünstigte verpflichtet werden, die nach Nummer 2 Buchstabe c zu duldenden Maßnahmen vorzunehmen.</w:t>
      </w:r>
    </w:p>
    <w:p>
      <w:r>
        <w:t xml:space="preserve">Die zuständige Behörde kann von Verboten, Beschränkungen sowie Duldungs- und Handlungspflichten nach Satz 1 eine Befreiung erteilen, wenn der Schutzzweck nicht gefährdet wird oder überwiegende Gründe des Wohls der Allgemeinheit dies erfordern. Sie hat eine Befreiung zu erteilen, soweit dies zur Vermeidung unzumutbarer Beschränkungen des Eigentums erforderlich ist und hierdurch der Schutzzweck nicht gefährdet wird. Für die Erteilung der Befreiung gilt § 11a Absatz 4 bis 7 entsprechend, wenn die Befreiung für ein Vorhaben zur Erzeugung von Energie aus erneuerbaren Quellen erforderlich ist.</w:t>
      </w:r>
    </w:p>
    <w:p>
      <w:r>
        <w:t xml:space="preserve">(2) In einem als Wasserschutzgebiet vorgesehenen Gebiet können vorläufige Anordnungen nach Absatz 1 getroffen werden, wenn andernfalls der mit der Festsetzung des Wasserschutzgebiets verfolgte Zweck gefährdet wäre. Die vorläufige Anordnung tritt mit dem Inkrafttreten der Rechtsverordnung nach § 51 Absatz 1 außer Kraft, spätestens nach Ablauf von drei Jahren. Wenn besondere Umstände es erfordern, kann die Frist um höchstens ein weiteres Jahr verlängert werden. Die vorläufige Anordnung ist vor Ablauf der Frist nach Satz 2 oder Satz 3 außer Kraft zu setzen, sobald und soweit die Voraussetzungen für ihren Erlass weggefallen sind.</w:t>
      </w:r>
    </w:p>
    <w:p>
      <w:r>
        <w:t xml:space="preserve">(3) Behördliche Entscheidungen nach Absatz 1 können auch außerhalb eines Wasserschutzgebiets getroffen werden, wenn andernfalls der mit der Festsetzung des Wasserschutzgebiets verfolgte Zweck gefährdet wäre.</w:t>
      </w:r>
    </w:p>
    <w:p>
      <w:r>
        <w:t xml:space="preserve">(4) Soweit eine Anordnung nach Absatz 1 Satz 1 Nummer 1 oder Nummer 2, auch in Verbindung mit Absatz 2 oder Absatz 3, das Eigentum unzumutbar beschränkt und diese Beschränkung nicht durch eine Befreiung nach Absatz 1 Satz 3 oder andere Maßnahmen vermieden oder ausgeglichen werden kann, ist eine Entschädigung zu leisten.</w:t>
      </w:r>
    </w:p>
    <w:p>
      <w:r>
        <w:t xml:space="preserve">(5) Setzt eine Anordnung nach Absatz 1 Satz 1 Nummer 1 oder Nummer 2, auch in Verbindung mit Absatz 2 oder Absatz 3, erhöhte Anforderungen fest, die die ordnungsgemäße land- oder forstwirtschaftliche Nutzung eines Grundstücks einschränken, so ist für die dadurch verursachten wirtschaftlichen Nachteile ein angemessener Ausgleich zu leisten, soweit nicht eine Entschädigungspflicht nach Absatz 4 besteht.</w:t>
      </w:r>
    </w:p>
    <w:p>
      <w:r>
        <w:rPr>
          <w:color w:val="555555"/>
          <w:sz w:val="17"/>
        </w:rPr>
        <w:t xml:space="preserve">Zitiervorschlag: § 52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