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 WHG 2009 — Festsetzung von Wasserschutzgebieten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es das Wohl der Allgemeinheit erfordert,</w:t>
      </w:r>
    </w:p>
    <w:p>
      <w:pPr>
        <w:ind w:left="420"/>
      </w:pPr>
      <w:r>
        <w:t xml:space="preserve">1. Gewässer im Interesse der derzeit bestehenden oder künftigen öffentlichen Wasserversorgung vor nachteiligen Einwirkungen zu schützen,</w:t>
      </w:r>
    </w:p>
    <w:p>
      <w:pPr>
        <w:ind w:left="420"/>
      </w:pPr>
      <w:r>
        <w:t xml:space="preserve">2. das Grundwasser anzureichern oder</w:t>
      </w:r>
    </w:p>
    <w:p>
      <w:pPr>
        <w:ind w:left="420"/>
      </w:pPr>
      <w:r>
        <w:t xml:space="preserve">3. das schädliche Abfließen von Niederschlagswasser sowie das Abschwemmen und den Eintrag von Bodenbestandteilen, Dünge- oder Pflanzenschutzmitteln in Gewässer zu vermeiden,</w:t>
      </w:r>
    </w:p>
    <w:p>
      <w:r>
        <w:t xml:space="preserve">kann die Landesregierung durch Rechtsverordnung Wasserschutzgebiete festsetzen. In der Rechtsverordnung ist die begünstigte Person zu benennen. Die Landesregierung kann die Ermächtigung nach Satz 1 durch Rechtsverordnung auf andere Landesbehörden übertragen.</w:t>
      </w:r>
    </w:p>
    <w:p>
      <w:r>
        <w:t xml:space="preserve">(2) Trinkwasserschutzgebiete sollen nach Maßgabe der allgemein anerkannten Regeln der Technik in Zonen mit unterschiedlichen Schutzbestimmungen unterteilt werden.</w:t>
      </w:r>
    </w:p>
    <w:p>
      <w:r>
        <w:rPr>
          <w:color w:val="555555"/>
          <w:sz w:val="17"/>
        </w:rPr>
        <w:t xml:space="preserve">Zitiervorschlag: § 51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