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WHG 2009 — Bewirtschaftungsziele für das Grundwasser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Grundwasser ist so zu bewirtschaften, dass</w:t>
      </w:r>
    </w:p>
    <w:p>
      <w:pPr>
        <w:ind w:left="420"/>
      </w:pPr>
      <w:r>
        <w:t xml:space="preserve">1. eine Verschlechterung seines mengenmäßigen und seines chemischen Zustands vermieden wird;</w:t>
      </w:r>
    </w:p>
    <w:p>
      <w:pPr>
        <w:ind w:left="420"/>
      </w:pPr>
      <w:r>
        <w:t xml:space="preserve">2. alle signifikanten und anhaltenden Trends ansteigender Schadstoffkonzentrationen auf Grund der Auswirkungen menschlicher Tätigkeiten umgekehrt werden;</w:t>
      </w:r>
    </w:p>
    <w:p>
      <w:pPr>
        <w:ind w:left="420"/>
      </w:pPr>
      <w:r>
        <w:t xml:space="preserve">3. ein guter mengenmäßiger und ein guter chemischer Zustand erhalten oder erreicht werden; zu einem guten mengenmäßigen Zustand gehört insbesondere ein Gleichgewicht zwischen Grundwasserentnahme und Grundwasserneubildung.</w:t>
      </w:r>
    </w:p>
    <w:p>
      <w:r>
        <w:t xml:space="preserve">(2) Die Bewirtschaftungsziele nach Absatz 1 Nummer 3 sind bis zum 22. Dezember 2015 zu erreichen. Fristverlängerungen sind in entsprechender Anwendung des § 29 Absatz 2 bis 4 zulässig.</w:t>
      </w:r>
    </w:p>
    <w:p>
      <w:r>
        <w:t xml:space="preserve">(3) Für Ausnahmen von den Bewirtschaftungszielen nach Absatz 1 gilt § 31 Absatz 1, 2 Satz 1 und Absatz 3 entsprechend. Für die Bewirtschaftungsziele nach Absatz 1 Nummer 3 gilt darüber hinaus § 30 entsprechend mit der Maßgabe, dass nach Satz 1 Nummer 4 der bestmögliche mengenmäßige und chemische Zustand des Grundwassers zu erreichen ist.</w:t>
      </w:r>
    </w:p>
    <w:p>
      <w:r>
        <w:rPr>
          <w:color w:val="555555"/>
          <w:sz w:val="17"/>
        </w:rPr>
        <w:t xml:space="preserve">Zitiervorschlag: § 47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