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WHG 2009 — Erlaubnisfreie Benutzungen des Grundwassers</w:t>
      </w:r>
    </w:p>
    <w:p>
      <w:r>
        <w:rPr>
          <w:color w:val="555555"/>
          <w:sz w:val="18"/>
        </w:rPr>
        <w:t xml:space="preserve">Wasserhaushaltsgesetz</w:t>
      </w:r>
    </w:p>
    <w:p>
      <w:r>
        <w:rPr>
          <w:color w:val="555555"/>
          <w:sz w:val="18"/>
        </w:rPr>
        <w:t xml:space="preserve">Stand: 23.12.2025 (konsolidierte Textfassung, kein amtliches Inkrafttretensdatum)</w:t>
      </w:r>
    </w:p>
    <w:p>
      <w:r>
        <w:t xml:space="preserve">(1) Keiner Erlaubnis oder Bewilligung bedarf das Entnehmen, Zutagefördern, Zutageleiten oder Ableiten von Grundwasser</w:t>
      </w:r>
    </w:p>
    <w:p>
      <w:pPr>
        <w:ind w:left="420"/>
      </w:pPr>
      <w:r>
        <w:t xml:space="preserve">1. für den Haushalt einschließlich der Wärmeversorgung über den Entzug von Wärme aus dem Wasser, für den landwirtschaftlichen Hofbetrieb, für das Tränken von Vieh außerhalb des Hofbetriebs oder in geringen Mengen zu einem vorübergehenden Zweck,</w:t>
      </w:r>
    </w:p>
    <w:p>
      <w:pPr>
        <w:ind w:left="420"/>
      </w:pPr>
      <w:r>
        <w:t xml:space="preserve">2. für Zwecke der gewöhnlichen Bodenentwässerung landwirtschaftlich, forstwirtschaftlich oder gärtnerisch genutzter Grundstücke,</w:t>
      </w:r>
    </w:p>
    <w:p>
      <w:r>
        <w:t xml:space="preserve">soweit keine signifikanten nachteiligen Auswirkungen auf den Wasserhaushalt zu besorgen sind. Wird in den Fällen und unter den Voraussetzungen des Satzes 1 Nummer 2 das Wasser aus der Bodenentwässerung in ein oberirdisches Gewässer eingeleitet, findet § 25 Satz 2 keine Anwendung.</w:t>
      </w:r>
    </w:p>
    <w:p>
      <w:r>
        <w:t xml:space="preserve">(2) Keiner Erlaubnis bedarf ferner das Einleiten von Niederschlagswasser in das Grundwasser durch schadlose Versickerung, soweit dies in einer Rechtsverordnung nach § 23 Absatz 1 bestimmt ist.</w:t>
      </w:r>
    </w:p>
    <w:p>
      <w:r>
        <w:t xml:space="preserve">(3) Durch Landesrecht kann bestimmt werden, dass weitere Fälle von der Erlaubnis- oder Bewilligungspflicht ausgenommen sind oder eine Erlaubnis oder eine Bewilligung in den Fällen der Absätze 1 und 2 erforderlich ist.</w:t>
      </w:r>
    </w:p>
    <w:p>
      <w:r>
        <w:rPr>
          <w:color w:val="555555"/>
          <w:sz w:val="17"/>
        </w:rPr>
        <w:t xml:space="preserve">Zitiervorschlag: § 46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