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45l WHG 2009 — Zuständigkeit im Bereich der deutschen ausschließlichen Wirtschaftszone und des Festlandsockels</w:t>
      </w:r>
    </w:p>
    <w:p>
      <w:r>
        <w:rPr>
          <w:color w:val="555555"/>
          <w:sz w:val="18"/>
        </w:rPr>
        <w:t xml:space="preserve">Wasserhaushaltsgesetz</w:t>
      </w:r>
    </w:p>
    <w:p>
      <w:r>
        <w:rPr>
          <w:color w:val="555555"/>
          <w:sz w:val="18"/>
        </w:rPr>
        <w:t xml:space="preserve">Stand: 29.07.2026 (konsolidierte Textfassung, kein amtliches Inkrafttretensdatum)</w:t>
      </w:r>
    </w:p>
    <w:p>
      <w:r>
        <w:t xml:space="preserve">Das Bundesministerium für Umwelt, Klimaschutz, Naturschutz und nukleare Sicherheit wird ermächtigt, im Einvernehmen mit dem Bundesministerium für Landwirtschaft, Ernährung und Heimat, dem Bundesministerium für Verkehr und dem Bundesministerium der Finanzen durch Rechtsverordnung ohne Zustimmung des Bundesrates die Zuständigkeit von Bundesbehörden im Geschäftsbereich der genannten Bundesministerien für die Durchführung der Vorschriften dieses Abschnitts und der auf Grund des § 23 für Meeresgewässer erlassenen Vorschriften im Bereich der deutschen ausschließlichen Wirtschaftszone und des Festlandsockels sowie das Zusammenwirken von Bundesbehörden bei der Durchführung dieser Vorschriften in diesem Bereich zu regeln.</w:t>
      </w:r>
    </w:p>
    <w:p>
      <w:r>
        <w:rPr>
          <w:color w:val="555555"/>
          <w:sz w:val="17"/>
        </w:rPr>
        <w:t xml:space="preserve">Zitiervorschlag: § 45l WHG 2009</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https://recht.nulegal.eu/gesetze/WHG%202009/45l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